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36929" w14:textId="77777777" w:rsidR="00D76F2C" w:rsidRDefault="00D76F2C" w:rsidP="00805D8B">
      <w:pPr>
        <w:jc w:val="right"/>
        <w:rPr>
          <w:b/>
          <w:bCs/>
        </w:rPr>
      </w:pPr>
      <w:r w:rsidRPr="00805D8B">
        <w:rPr>
          <w:b/>
          <w:bCs/>
        </w:rPr>
        <w:t>Приложение 8</w:t>
      </w:r>
    </w:p>
    <w:p w14:paraId="6FACA200" w14:textId="77777777" w:rsidR="00805D8B" w:rsidRDefault="00805D8B" w:rsidP="00805D8B">
      <w:pPr>
        <w:jc w:val="right"/>
        <w:rPr>
          <w:b/>
          <w:bCs/>
        </w:rPr>
      </w:pPr>
    </w:p>
    <w:p w14:paraId="375135D1" w14:textId="77777777" w:rsidR="00805D8B" w:rsidRPr="00805D8B" w:rsidRDefault="00805D8B" w:rsidP="00805D8B">
      <w:pPr>
        <w:jc w:val="right"/>
        <w:rPr>
          <w:b/>
          <w:bCs/>
        </w:rPr>
      </w:pPr>
    </w:p>
    <w:p w14:paraId="31A60996" w14:textId="77777777" w:rsidR="00D76F2C" w:rsidRDefault="00D76F2C" w:rsidP="00D76F2C">
      <w:pPr>
        <w:jc w:val="center"/>
        <w:rPr>
          <w:b/>
          <w:bCs/>
        </w:rPr>
      </w:pPr>
      <w:bookmarkStart w:id="0" w:name="_Hlk169704309"/>
      <w:r w:rsidRPr="00805D8B">
        <w:rPr>
          <w:b/>
          <w:bCs/>
        </w:rPr>
        <w:t>"Минимални технически изисквания"</w:t>
      </w:r>
      <w:bookmarkEnd w:id="0"/>
    </w:p>
    <w:p w14:paraId="6719010C" w14:textId="77777777" w:rsidR="00805D8B" w:rsidRPr="00805D8B" w:rsidRDefault="00805D8B" w:rsidP="00D76F2C">
      <w:pPr>
        <w:jc w:val="center"/>
        <w:rPr>
          <w:b/>
          <w:bCs/>
        </w:rPr>
      </w:pPr>
    </w:p>
    <w:p w14:paraId="49CA821A" w14:textId="77777777" w:rsidR="00D76F2C" w:rsidRPr="003474BD" w:rsidRDefault="00D76F2C" w:rsidP="00D76F2C">
      <w:pPr>
        <w:rPr>
          <w:u w:val="single"/>
        </w:rPr>
      </w:pPr>
    </w:p>
    <w:p w14:paraId="78EE0BA3" w14:textId="77777777" w:rsidR="00D76F2C" w:rsidRPr="00D76F2C" w:rsidRDefault="00D76F2C" w:rsidP="00D76F2C">
      <w:pPr>
        <w:pStyle w:val="ListParagraph"/>
        <w:keepLines w:val="0"/>
        <w:numPr>
          <w:ilvl w:val="0"/>
          <w:numId w:val="20"/>
        </w:numPr>
        <w:spacing w:before="0" w:after="160" w:line="259" w:lineRule="auto"/>
        <w:ind w:hanging="720"/>
        <w:jc w:val="left"/>
        <w:rPr>
          <w:rFonts w:ascii="Times New Roman" w:hAnsi="Times New Roman"/>
          <w:b/>
          <w:bCs/>
          <w:sz w:val="24"/>
          <w:szCs w:val="24"/>
        </w:rPr>
      </w:pPr>
      <w:r w:rsidRPr="00D76F2C">
        <w:rPr>
          <w:rFonts w:ascii="Times New Roman" w:hAnsi="Times New Roman"/>
          <w:b/>
          <w:bCs/>
          <w:sz w:val="24"/>
          <w:szCs w:val="24"/>
        </w:rPr>
        <w:t>Минимални технически характеристики на съоръжението за съхранение</w:t>
      </w:r>
    </w:p>
    <w:tbl>
      <w:tblPr>
        <w:tblStyle w:val="TableGrid2"/>
        <w:tblW w:w="9351" w:type="dxa"/>
        <w:tblLook w:val="04A0" w:firstRow="1" w:lastRow="0" w:firstColumn="1" w:lastColumn="0" w:noHBand="0" w:noVBand="1"/>
      </w:tblPr>
      <w:tblGrid>
        <w:gridCol w:w="553"/>
        <w:gridCol w:w="5303"/>
        <w:gridCol w:w="1652"/>
        <w:gridCol w:w="1843"/>
      </w:tblGrid>
      <w:tr w:rsidR="00D76F2C" w:rsidRPr="003474BD" w14:paraId="5A8B719C" w14:textId="77777777" w:rsidTr="00F01B8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7781" w14:textId="77777777" w:rsidR="00D76F2C" w:rsidRPr="003474BD" w:rsidRDefault="00D76F2C" w:rsidP="00F01B81">
            <w:pPr>
              <w:spacing w:before="120" w:after="120"/>
              <w:jc w:val="center"/>
              <w:rPr>
                <w:rFonts w:eastAsia="SimSun"/>
                <w:b/>
              </w:rPr>
            </w:pPr>
            <w:r w:rsidRPr="003474BD">
              <w:rPr>
                <w:rFonts w:eastAsia="SimSun"/>
                <w:b/>
              </w:rPr>
              <w:t>№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837A" w14:textId="77777777" w:rsidR="00D76F2C" w:rsidRPr="003474BD" w:rsidRDefault="00D76F2C" w:rsidP="00F01B81">
            <w:pPr>
              <w:spacing w:before="120" w:after="120"/>
              <w:jc w:val="center"/>
              <w:rPr>
                <w:rFonts w:eastAsia="SimSun"/>
                <w:b/>
              </w:rPr>
            </w:pPr>
            <w:r w:rsidRPr="003474BD">
              <w:rPr>
                <w:rFonts w:eastAsia="SimSun"/>
                <w:b/>
              </w:rPr>
              <w:t>Параметър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C393" w14:textId="77777777" w:rsidR="00D76F2C" w:rsidRPr="003474BD" w:rsidRDefault="00D76F2C" w:rsidP="00F01B81">
            <w:pPr>
              <w:spacing w:before="120" w:after="120"/>
              <w:jc w:val="center"/>
              <w:rPr>
                <w:rFonts w:eastAsia="SimSun"/>
                <w:b/>
              </w:rPr>
            </w:pPr>
            <w:r w:rsidRPr="003474BD">
              <w:rPr>
                <w:rFonts w:eastAsia="SimSun"/>
                <w:b/>
              </w:rPr>
              <w:t>Мерна единица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B9BE" w14:textId="77777777" w:rsidR="00D76F2C" w:rsidRPr="003474BD" w:rsidRDefault="00D76F2C" w:rsidP="00F01B81">
            <w:pPr>
              <w:spacing w:before="120" w:after="120"/>
              <w:jc w:val="center"/>
              <w:rPr>
                <w:rFonts w:eastAsia="SimSun"/>
                <w:b/>
              </w:rPr>
            </w:pPr>
            <w:r w:rsidRPr="003474BD">
              <w:rPr>
                <w:rFonts w:eastAsia="SimSun"/>
                <w:b/>
              </w:rPr>
              <w:t>Минимална изисквана стойност</w:t>
            </w:r>
          </w:p>
        </w:tc>
      </w:tr>
      <w:tr w:rsidR="00D76F2C" w:rsidRPr="003474BD" w14:paraId="1EE16964" w14:textId="77777777" w:rsidTr="00F01B8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15E" w14:textId="77777777" w:rsidR="00D76F2C" w:rsidRPr="003474BD" w:rsidRDefault="00D76F2C" w:rsidP="00D76F2C">
            <w:pPr>
              <w:pStyle w:val="ListParagraph"/>
              <w:keepLines w:val="0"/>
              <w:numPr>
                <w:ilvl w:val="0"/>
                <w:numId w:val="21"/>
              </w:numPr>
              <w:tabs>
                <w:tab w:val="left" w:pos="345"/>
              </w:tabs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88DE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Експлоатационен живот в цикли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7EB2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Брой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4889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 xml:space="preserve">≥ 2 000 цикъла </w:t>
            </w:r>
          </w:p>
        </w:tc>
      </w:tr>
      <w:tr w:rsidR="00D76F2C" w:rsidRPr="003474BD" w14:paraId="1D7A88A9" w14:textId="77777777" w:rsidTr="00F01B8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EEF4" w14:textId="77777777" w:rsidR="00D76F2C" w:rsidRPr="003474BD" w:rsidRDefault="00D76F2C" w:rsidP="00D76F2C">
            <w:pPr>
              <w:pStyle w:val="ListParagraph"/>
              <w:keepLines w:val="0"/>
              <w:numPr>
                <w:ilvl w:val="0"/>
                <w:numId w:val="21"/>
              </w:numPr>
              <w:tabs>
                <w:tab w:val="left" w:pos="345"/>
              </w:tabs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E760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Ефективност на ЛСС при C/2 и пълен цикъл заряд и разряд (включва инвертор с управление, конвертори, охлаждаща система, батерии и всички допълнителни електрически консумации. Не включва трансформаторната уредба в случай на присъединяване към уредба високо/средно напрежение)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1475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AA64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&gt;80</w:t>
            </w:r>
          </w:p>
        </w:tc>
      </w:tr>
      <w:tr w:rsidR="00D76F2C" w:rsidRPr="003474BD" w14:paraId="522C6712" w14:textId="77777777" w:rsidTr="00F01B8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7611" w14:textId="77777777" w:rsidR="00D76F2C" w:rsidRPr="003474BD" w:rsidRDefault="00D76F2C" w:rsidP="00D76F2C">
            <w:pPr>
              <w:pStyle w:val="ListParagraph"/>
              <w:keepLines w:val="0"/>
              <w:numPr>
                <w:ilvl w:val="0"/>
                <w:numId w:val="21"/>
              </w:numPr>
              <w:tabs>
                <w:tab w:val="left" w:pos="345"/>
              </w:tabs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2645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Минимален използваем капацитет на батерията на ЛСС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277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BCEC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при заряд</w:t>
            </w:r>
          </w:p>
          <w:p w14:paraId="7EDD8B5D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 xml:space="preserve">≥ 80% </w:t>
            </w:r>
          </w:p>
          <w:p w14:paraId="143862A1" w14:textId="77777777" w:rsidR="00D76F2C" w:rsidRPr="003474BD" w:rsidRDefault="00D76F2C" w:rsidP="00F01B81">
            <w:pPr>
              <w:spacing w:before="120" w:after="120"/>
              <w:jc w:val="both"/>
              <w:rPr>
                <w:rFonts w:eastAsia="SimSun"/>
              </w:rPr>
            </w:pPr>
            <w:r w:rsidRPr="003474BD">
              <w:rPr>
                <w:rFonts w:eastAsia="SimSun"/>
              </w:rPr>
              <w:t>при разряд ≤ 10%</w:t>
            </w:r>
          </w:p>
        </w:tc>
      </w:tr>
      <w:tr w:rsidR="00D76F2C" w:rsidRPr="003474BD" w14:paraId="05606729" w14:textId="77777777" w:rsidTr="00F01B8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FA4E" w14:textId="77777777" w:rsidR="00D76F2C" w:rsidRPr="003474BD" w:rsidRDefault="00D76F2C" w:rsidP="00D76F2C">
            <w:pPr>
              <w:pStyle w:val="ListParagraph"/>
              <w:keepLines w:val="0"/>
              <w:numPr>
                <w:ilvl w:val="0"/>
                <w:numId w:val="21"/>
              </w:numPr>
              <w:tabs>
                <w:tab w:val="left" w:pos="345"/>
              </w:tabs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30DD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 xml:space="preserve">Възможност за безпроблемна работа на ЛСС при външни температури, без редуциране на мощността на </w:t>
            </w:r>
            <w:proofErr w:type="spellStart"/>
            <w:r w:rsidRPr="003474BD">
              <w:rPr>
                <w:rFonts w:eastAsia="SimSun"/>
              </w:rPr>
              <w:t>инверторната</w:t>
            </w:r>
            <w:proofErr w:type="spellEnd"/>
            <w:r w:rsidRPr="003474BD">
              <w:rPr>
                <w:rFonts w:eastAsia="SimSun"/>
              </w:rPr>
              <w:t xml:space="preserve"> система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86C5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°C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1068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 xml:space="preserve">≤ -25°C </w:t>
            </w:r>
          </w:p>
          <w:p w14:paraId="01611B49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≥ +45°C</w:t>
            </w:r>
          </w:p>
        </w:tc>
      </w:tr>
      <w:tr w:rsidR="00D76F2C" w:rsidRPr="003474BD" w14:paraId="59D1B723" w14:textId="77777777" w:rsidTr="00F01B81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46BE" w14:textId="77777777" w:rsidR="00D76F2C" w:rsidRPr="003474BD" w:rsidRDefault="00D76F2C" w:rsidP="00D76F2C">
            <w:pPr>
              <w:pStyle w:val="ListParagraph"/>
              <w:keepLines w:val="0"/>
              <w:numPr>
                <w:ilvl w:val="0"/>
                <w:numId w:val="21"/>
              </w:numPr>
              <w:tabs>
                <w:tab w:val="left" w:pos="345"/>
              </w:tabs>
              <w:spacing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CADB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Гарантирана годишна използваемост на ЛСС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40B8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>Брой цикли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DB24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rFonts w:eastAsia="SimSun"/>
              </w:rPr>
              <w:t xml:space="preserve">≥ 360 цикъла </w:t>
            </w:r>
          </w:p>
        </w:tc>
      </w:tr>
      <w:tr w:rsidR="00D76F2C" w:rsidRPr="003474BD" w14:paraId="52379B8C" w14:textId="77777777" w:rsidTr="00F01B81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A95B" w14:textId="77777777" w:rsidR="00D76F2C" w:rsidRPr="003474BD" w:rsidRDefault="00D76F2C" w:rsidP="00F01B81">
            <w:pPr>
              <w:spacing w:before="120" w:after="120"/>
              <w:rPr>
                <w:lang w:eastAsia="pl-PL"/>
              </w:rPr>
            </w:pPr>
            <w:bookmarkStart w:id="1" w:name="_Hlk169615410"/>
            <w:r w:rsidRPr="003474BD">
              <w:rPr>
                <w:lang w:eastAsia="pl-PL"/>
              </w:rPr>
              <w:t xml:space="preserve">Всички активи следва да бъдат нови, неупотребявани, да </w:t>
            </w:r>
            <w:r>
              <w:rPr>
                <w:lang w:eastAsia="pl-PL"/>
              </w:rPr>
              <w:t xml:space="preserve">отговарят на изискванията на приложимото законодателство, включително, но не само на ЗУТ и Закона за техническите изисквания към продуктите, да </w:t>
            </w:r>
            <w:r w:rsidRPr="003474BD">
              <w:rPr>
                <w:lang w:eastAsia="pl-PL"/>
              </w:rPr>
              <w:t>имат СЕ маркировка и</w:t>
            </w:r>
            <w:r>
              <w:rPr>
                <w:lang w:eastAsia="pl-PL"/>
              </w:rPr>
              <w:t>/или</w:t>
            </w:r>
            <w:r w:rsidRPr="003474BD">
              <w:rPr>
                <w:lang w:eastAsia="pl-PL"/>
              </w:rPr>
              <w:t xml:space="preserve"> Декларация за съответствие от производител/вносител (основание за допускане на европейския пазар)</w:t>
            </w:r>
            <w:r>
              <w:rPr>
                <w:lang w:eastAsia="pl-PL"/>
              </w:rPr>
              <w:t>, да са в съответствие с приложимите български и европейски стандарти</w:t>
            </w:r>
            <w:r w:rsidRPr="003474BD">
              <w:rPr>
                <w:lang w:eastAsia="pl-PL"/>
              </w:rPr>
              <w:t>.</w:t>
            </w:r>
            <w:bookmarkEnd w:id="1"/>
          </w:p>
          <w:p w14:paraId="064CFAA1" w14:textId="77777777" w:rsidR="00D76F2C" w:rsidRPr="003474BD" w:rsidRDefault="00D76F2C" w:rsidP="00F01B81">
            <w:pPr>
              <w:spacing w:before="120" w:after="120"/>
              <w:rPr>
                <w:rFonts w:eastAsia="SimSun"/>
              </w:rPr>
            </w:pPr>
            <w:r w:rsidRPr="003474BD">
              <w:rPr>
                <w:lang w:eastAsia="pl-PL"/>
              </w:rPr>
              <w:t xml:space="preserve">Проектът ще осигури баланс на съоръжението за съхранение (Balance of </w:t>
            </w:r>
            <w:proofErr w:type="spellStart"/>
            <w:r w:rsidRPr="003474BD">
              <w:rPr>
                <w:lang w:eastAsia="pl-PL"/>
              </w:rPr>
              <w:t>Plant</w:t>
            </w:r>
            <w:proofErr w:type="spellEnd"/>
            <w:r w:rsidRPr="003474BD">
              <w:rPr>
                <w:lang w:eastAsia="pl-PL"/>
              </w:rPr>
              <w:t>) – обхващащ всички инфраструктурни компоненти и системи, необходими за функционирането на съоръжението.</w:t>
            </w:r>
          </w:p>
        </w:tc>
      </w:tr>
    </w:tbl>
    <w:p w14:paraId="3A573861" w14:textId="77777777" w:rsidR="00D76F2C" w:rsidRPr="003474BD" w:rsidRDefault="00D76F2C" w:rsidP="00D76F2C"/>
    <w:p w14:paraId="3F1AB801" w14:textId="5F29F294" w:rsidR="00D76F2C" w:rsidRPr="00D76F2C" w:rsidRDefault="00D76F2C" w:rsidP="00D76F2C">
      <w:pPr>
        <w:pStyle w:val="ListParagraph"/>
        <w:keepLines w:val="0"/>
        <w:numPr>
          <w:ilvl w:val="0"/>
          <w:numId w:val="20"/>
        </w:numPr>
        <w:spacing w:before="0" w:after="160" w:line="259" w:lineRule="auto"/>
        <w:ind w:hanging="720"/>
        <w:jc w:val="left"/>
        <w:rPr>
          <w:rFonts w:ascii="Times New Roman" w:hAnsi="Times New Roman"/>
          <w:b/>
          <w:bCs/>
          <w:sz w:val="24"/>
          <w:szCs w:val="24"/>
        </w:rPr>
      </w:pPr>
      <w:r w:rsidRPr="00D76F2C">
        <w:rPr>
          <w:rFonts w:ascii="Times New Roman" w:hAnsi="Times New Roman"/>
          <w:b/>
          <w:bCs/>
          <w:sz w:val="24"/>
          <w:szCs w:val="24"/>
        </w:rPr>
        <w:lastRenderedPageBreak/>
        <w:t>Параметрите за осигуряване на резерви за първично регулиране на честотата и/или автоматично вторично регулиране на честотата и обменните мощност</w:t>
      </w:r>
    </w:p>
    <w:p w14:paraId="63E56667" w14:textId="152E0B1A" w:rsidR="002A1A40" w:rsidRPr="002A1A40" w:rsidRDefault="00FF4731" w:rsidP="002F128B">
      <w:pPr>
        <w:numPr>
          <w:ilvl w:val="1"/>
          <w:numId w:val="0"/>
        </w:numPr>
        <w:spacing w:before="120" w:after="120"/>
        <w:ind w:right="57"/>
        <w:jc w:val="both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 </w:t>
      </w:r>
      <w:r w:rsidR="002A1A40" w:rsidRPr="002A1A40">
        <w:rPr>
          <w:rFonts w:eastAsia="Calibri"/>
          <w:b/>
          <w:lang w:eastAsia="en-US"/>
        </w:rPr>
        <w:t>Условия и параметри</w:t>
      </w:r>
      <w:r>
        <w:rPr>
          <w:rFonts w:eastAsia="Calibri"/>
          <w:b/>
          <w:lang w:eastAsia="en-US"/>
        </w:rPr>
        <w:t xml:space="preserve"> </w:t>
      </w:r>
      <w:r w:rsidRPr="00D76F2C">
        <w:rPr>
          <w:b/>
          <w:bCs/>
        </w:rPr>
        <w:t>първично регулиране на честотата</w:t>
      </w:r>
      <w:r w:rsidR="002A1A40" w:rsidRPr="002A1A40">
        <w:rPr>
          <w:rFonts w:eastAsia="Calibri"/>
          <w:b/>
          <w:lang w:eastAsia="en-US"/>
        </w:rPr>
        <w:t>:</w:t>
      </w:r>
    </w:p>
    <w:p w14:paraId="72965DB3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Участие в първично регулиране на честотата се допуска само за ССЕБ от системно значение (с мощност не по-малка от 10MW и капацитет не по-малък от 20 </w:t>
      </w:r>
      <w:r w:rsidRPr="002F128B">
        <w:rPr>
          <w:rFonts w:eastAsia="Calibri"/>
          <w:lang w:eastAsia="en-US"/>
        </w:rPr>
        <w:t>MWh</w:t>
      </w:r>
      <w:r w:rsidRPr="002A1A40">
        <w:rPr>
          <w:rFonts w:eastAsia="Calibri"/>
          <w:lang w:eastAsia="en-US"/>
        </w:rPr>
        <w:t xml:space="preserve">), директно присъединена към електропреносната мрежа на НПО. ССЕБ, кандидатстваща за предоставяне на допълнителни услуги на НПО следва да изпълнява изискванията за модул тип </w:t>
      </w:r>
      <w:r w:rsidRPr="002F128B">
        <w:rPr>
          <w:rFonts w:eastAsia="Calibri"/>
          <w:lang w:eastAsia="en-US"/>
        </w:rPr>
        <w:t>D, съгласно чл. 46 от ПУЕЕС и предходната точка.</w:t>
      </w:r>
      <w:r w:rsidRPr="002A1A40">
        <w:rPr>
          <w:rFonts w:eastAsia="Calibri"/>
          <w:lang w:eastAsia="en-US"/>
        </w:rPr>
        <w:t xml:space="preserve"> </w:t>
      </w:r>
    </w:p>
    <w:p w14:paraId="0D958588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ССЕБ трябва да разполага с енергиен ресурс, достатъчен за покриване на целия договорен с НПО резерв за първично регулиране, за най-малко 1 час в положителна и отрицателна посока.</w:t>
      </w:r>
    </w:p>
    <w:p w14:paraId="3C305C4B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ССЕБ може да участва в първичното регулиране на честотата, по разпореждане на НПО, след успешно преминаване през предварителен квалификационен тест, доказващ техническата способност на ССЕБ да изпълнява изискванията на ПУЕЕС. </w:t>
      </w:r>
    </w:p>
    <w:p w14:paraId="26517154" w14:textId="7FC643B2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Параметрите за участие на ССЕБ в първичното регулиране на честотата се задават от НПО, в зависимост от техническите характеристики на ССЕБ и необходимостта на ЕЕС. Основните параметри са следните:</w:t>
      </w:r>
    </w:p>
    <w:p w14:paraId="1D757351" w14:textId="77777777" w:rsidR="002A1A40" w:rsidRPr="002A1A40" w:rsidRDefault="002A1A40" w:rsidP="002A1A40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Таблица 1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1588"/>
        <w:gridCol w:w="1588"/>
        <w:gridCol w:w="1587"/>
        <w:gridCol w:w="1588"/>
        <w:gridCol w:w="1588"/>
      </w:tblGrid>
      <w:tr w:rsidR="002A1A40" w:rsidRPr="002A1A40" w14:paraId="7C8E072C" w14:textId="77777777" w:rsidTr="00F01B81">
        <w:tc>
          <w:tcPr>
            <w:tcW w:w="1587" w:type="dxa"/>
          </w:tcPr>
          <w:p w14:paraId="3DD5AF10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Диапазон на резерва</w:t>
            </w:r>
          </w:p>
        </w:tc>
        <w:tc>
          <w:tcPr>
            <w:tcW w:w="1588" w:type="dxa"/>
          </w:tcPr>
          <w:p w14:paraId="49A9BAF9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proofErr w:type="spellStart"/>
            <w:r w:rsidRPr="002A1A40">
              <w:rPr>
                <w:rFonts w:eastAsia="Calibri"/>
                <w:lang w:eastAsia="en-US"/>
              </w:rPr>
              <w:t>Статизъм</w:t>
            </w:r>
            <w:proofErr w:type="spellEnd"/>
          </w:p>
        </w:tc>
        <w:tc>
          <w:tcPr>
            <w:tcW w:w="1588" w:type="dxa"/>
          </w:tcPr>
          <w:p w14:paraId="0F76CB36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Мъртва зона</w:t>
            </w:r>
          </w:p>
        </w:tc>
        <w:tc>
          <w:tcPr>
            <w:tcW w:w="1587" w:type="dxa"/>
          </w:tcPr>
          <w:p w14:paraId="5B5E878B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 xml:space="preserve">Допустима </w:t>
            </w:r>
            <w:proofErr w:type="spellStart"/>
            <w:r w:rsidRPr="002A1A40">
              <w:rPr>
                <w:rFonts w:eastAsia="Calibri"/>
                <w:lang w:eastAsia="en-US"/>
              </w:rPr>
              <w:t>нечувстви-телност</w:t>
            </w:r>
            <w:proofErr w:type="spellEnd"/>
          </w:p>
        </w:tc>
        <w:tc>
          <w:tcPr>
            <w:tcW w:w="1588" w:type="dxa"/>
          </w:tcPr>
          <w:p w14:paraId="5482D0C9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Време за отдаване на резерва</w:t>
            </w:r>
          </w:p>
        </w:tc>
        <w:tc>
          <w:tcPr>
            <w:tcW w:w="1588" w:type="dxa"/>
          </w:tcPr>
          <w:p w14:paraId="3990A170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Задържане на резерва</w:t>
            </w:r>
          </w:p>
        </w:tc>
      </w:tr>
      <w:tr w:rsidR="002A1A40" w:rsidRPr="002A1A40" w14:paraId="53F3FEBF" w14:textId="77777777" w:rsidTr="00F01B81">
        <w:trPr>
          <w:cantSplit/>
        </w:trPr>
        <w:tc>
          <w:tcPr>
            <w:tcW w:w="1587" w:type="dxa"/>
          </w:tcPr>
          <w:p w14:paraId="6FB619BE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MW</w:t>
            </w:r>
          </w:p>
        </w:tc>
        <w:tc>
          <w:tcPr>
            <w:tcW w:w="1588" w:type="dxa"/>
          </w:tcPr>
          <w:p w14:paraId="38068A7B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%</w:t>
            </w:r>
          </w:p>
        </w:tc>
        <w:tc>
          <w:tcPr>
            <w:tcW w:w="1588" w:type="dxa"/>
          </w:tcPr>
          <w:p w14:paraId="6DFB5F48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proofErr w:type="spellStart"/>
            <w:r w:rsidRPr="002A1A40">
              <w:rPr>
                <w:rFonts w:eastAsia="Calibri"/>
                <w:lang w:eastAsia="en-US"/>
              </w:rPr>
              <w:t>mHz</w:t>
            </w:r>
            <w:proofErr w:type="spellEnd"/>
          </w:p>
        </w:tc>
        <w:tc>
          <w:tcPr>
            <w:tcW w:w="1587" w:type="dxa"/>
          </w:tcPr>
          <w:p w14:paraId="5F833BC0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proofErr w:type="spellStart"/>
            <w:r w:rsidRPr="002A1A40">
              <w:rPr>
                <w:rFonts w:eastAsia="Calibri"/>
                <w:lang w:eastAsia="en-US"/>
              </w:rPr>
              <w:t>mHz</w:t>
            </w:r>
            <w:proofErr w:type="spellEnd"/>
          </w:p>
        </w:tc>
        <w:tc>
          <w:tcPr>
            <w:tcW w:w="1588" w:type="dxa"/>
          </w:tcPr>
          <w:p w14:paraId="4898127C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proofErr w:type="spellStart"/>
            <w:r w:rsidRPr="002A1A40">
              <w:rPr>
                <w:rFonts w:eastAsia="Calibri"/>
                <w:lang w:eastAsia="en-US"/>
              </w:rPr>
              <w:t>sec</w:t>
            </w:r>
            <w:proofErr w:type="spellEnd"/>
          </w:p>
        </w:tc>
        <w:tc>
          <w:tcPr>
            <w:tcW w:w="1588" w:type="dxa"/>
          </w:tcPr>
          <w:p w14:paraId="0D0A01CE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proofErr w:type="spellStart"/>
            <w:r w:rsidRPr="002A1A40">
              <w:rPr>
                <w:rFonts w:eastAsia="Calibri"/>
                <w:lang w:eastAsia="en-US"/>
              </w:rPr>
              <w:t>min</w:t>
            </w:r>
            <w:proofErr w:type="spellEnd"/>
          </w:p>
        </w:tc>
      </w:tr>
      <w:tr w:rsidR="002A1A40" w:rsidRPr="002A1A40" w14:paraId="6269A533" w14:textId="77777777" w:rsidTr="00F01B81">
        <w:trPr>
          <w:cantSplit/>
          <w:trHeight w:val="340"/>
        </w:trPr>
        <w:tc>
          <w:tcPr>
            <w:tcW w:w="1587" w:type="dxa"/>
          </w:tcPr>
          <w:p w14:paraId="5280C718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Задава се от НПО</w:t>
            </w:r>
          </w:p>
        </w:tc>
        <w:tc>
          <w:tcPr>
            <w:tcW w:w="1588" w:type="dxa"/>
          </w:tcPr>
          <w:p w14:paraId="3162B82A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Задава се от НПО</w:t>
            </w:r>
          </w:p>
        </w:tc>
        <w:tc>
          <w:tcPr>
            <w:tcW w:w="1588" w:type="dxa"/>
          </w:tcPr>
          <w:p w14:paraId="333FF1EF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sym w:font="Symbol" w:char="F0B1"/>
            </w:r>
            <w:r w:rsidRPr="002A1A40">
              <w:rPr>
                <w:rFonts w:eastAsia="Calibri"/>
                <w:lang w:eastAsia="en-US"/>
              </w:rPr>
              <w:t xml:space="preserve"> 20</w:t>
            </w:r>
          </w:p>
        </w:tc>
        <w:tc>
          <w:tcPr>
            <w:tcW w:w="1587" w:type="dxa"/>
          </w:tcPr>
          <w:p w14:paraId="37312D06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sym w:font="Symbol" w:char="F0B1"/>
            </w:r>
            <w:r w:rsidRPr="002A1A4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88" w:type="dxa"/>
          </w:tcPr>
          <w:p w14:paraId="749918CB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sym w:font="Symbol" w:char="F0A3"/>
            </w:r>
            <w:r w:rsidRPr="002A1A40">
              <w:rPr>
                <w:rFonts w:eastAsia="Calibri"/>
                <w:lang w:eastAsia="en-US"/>
              </w:rPr>
              <w:t xml:space="preserve"> 30</w:t>
            </w:r>
          </w:p>
        </w:tc>
        <w:tc>
          <w:tcPr>
            <w:tcW w:w="1588" w:type="dxa"/>
          </w:tcPr>
          <w:p w14:paraId="305906E1" w14:textId="77777777" w:rsidR="002A1A40" w:rsidRPr="002A1A40" w:rsidRDefault="002A1A40" w:rsidP="00F01B81">
            <w:pPr>
              <w:spacing w:before="120" w:after="120"/>
              <w:jc w:val="both"/>
              <w:rPr>
                <w:rFonts w:eastAsia="Calibri"/>
                <w:lang w:eastAsia="en-US"/>
              </w:rPr>
            </w:pPr>
            <w:r w:rsidRPr="002A1A40">
              <w:rPr>
                <w:rFonts w:eastAsia="Calibri"/>
                <w:lang w:eastAsia="en-US"/>
              </w:rPr>
              <w:t>Задава се от НПО</w:t>
            </w:r>
          </w:p>
        </w:tc>
      </w:tr>
    </w:tbl>
    <w:p w14:paraId="09F38FF7" w14:textId="77777777" w:rsidR="002A1A40" w:rsidRPr="002A1A40" w:rsidRDefault="002A1A40" w:rsidP="002F128B">
      <w:pPr>
        <w:numPr>
          <w:ilvl w:val="1"/>
          <w:numId w:val="0"/>
        </w:numPr>
        <w:spacing w:before="120" w:after="120"/>
        <w:ind w:right="57"/>
        <w:jc w:val="both"/>
        <w:outlineLvl w:val="0"/>
        <w:rPr>
          <w:rFonts w:eastAsia="Calibri"/>
          <w:b/>
          <w:lang w:eastAsia="en-US"/>
        </w:rPr>
      </w:pPr>
      <w:r w:rsidRPr="002A1A40">
        <w:rPr>
          <w:rFonts w:eastAsia="Calibri"/>
          <w:b/>
          <w:lang w:eastAsia="en-US"/>
        </w:rPr>
        <w:t>Средства за контрол и регистрация на участието в първичното регулиране на честота.</w:t>
      </w:r>
    </w:p>
    <w:p w14:paraId="5FE6A290" w14:textId="77777777" w:rsidR="002A1A40" w:rsidRPr="002A1A40" w:rsidRDefault="002A1A40" w:rsidP="002A1A40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Контрол на участието на всяка ССЕБ в първичното регулиране на честотата се извършва по стойностите на параметрите, регистрирани от SCADA/EMS системата на НПО,  собствените регистриращи системи на ОССЕБ и регистраторите с непрекъснат запис в подстанцията или възловата станция на НПО.</w:t>
      </w:r>
    </w:p>
    <w:p w14:paraId="2DF7521E" w14:textId="77777777" w:rsidR="002A1A40" w:rsidRPr="002A1A40" w:rsidRDefault="002A1A40" w:rsidP="002F128B">
      <w:pPr>
        <w:numPr>
          <w:ilvl w:val="1"/>
          <w:numId w:val="0"/>
        </w:numPr>
        <w:spacing w:before="120" w:after="120"/>
        <w:ind w:right="57"/>
        <w:jc w:val="both"/>
        <w:outlineLvl w:val="0"/>
        <w:rPr>
          <w:rFonts w:eastAsia="Calibri"/>
          <w:b/>
          <w:lang w:eastAsia="en-US"/>
        </w:rPr>
      </w:pPr>
      <w:r w:rsidRPr="002A1A40">
        <w:rPr>
          <w:rFonts w:eastAsia="Calibri"/>
          <w:b/>
          <w:lang w:eastAsia="en-US"/>
        </w:rPr>
        <w:t>Контрол и плащания за участието на блоковете в първичното регулиране на честота:</w:t>
      </w:r>
    </w:p>
    <w:p w14:paraId="041620A5" w14:textId="77777777" w:rsidR="002A1A40" w:rsidRPr="002A1A40" w:rsidRDefault="002A1A40" w:rsidP="00FF4731">
      <w:pPr>
        <w:spacing w:before="120" w:after="12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Ежемесечно, до пето число или при първо пускане след инсталиране или основен ремонт на ССЕБ, </w:t>
      </w:r>
      <w:r w:rsidRPr="002A1A40">
        <w:rPr>
          <w:rFonts w:eastAsia="Calibri"/>
        </w:rPr>
        <w:t>ОССЕБ</w:t>
      </w:r>
      <w:r w:rsidRPr="002A1A40">
        <w:rPr>
          <w:rFonts w:eastAsia="Calibri"/>
          <w:lang w:eastAsia="en-US"/>
        </w:rPr>
        <w:t xml:space="preserve"> сам или в присъствието на представител на НПО, извършва изпитание </w:t>
      </w:r>
      <w:r w:rsidRPr="002A1A40">
        <w:rPr>
          <w:rFonts w:eastAsia="Calibri"/>
          <w:iCs/>
          <w:lang w:eastAsia="en-US"/>
        </w:rPr>
        <w:t xml:space="preserve">за доказване на техническите параметри, с които </w:t>
      </w:r>
      <w:r w:rsidRPr="002A1A40">
        <w:rPr>
          <w:rFonts w:eastAsia="Calibri"/>
          <w:lang w:eastAsia="en-US"/>
        </w:rPr>
        <w:t>ССЕБ</w:t>
      </w:r>
      <w:r w:rsidRPr="002A1A40">
        <w:rPr>
          <w:rFonts w:eastAsia="Calibri"/>
          <w:iCs/>
          <w:lang w:eastAsia="en-US"/>
        </w:rPr>
        <w:t xml:space="preserve"> участва в първичното регулиране на системната честота. Изпитанието се извършва от 08:00 до 16:00 часа през работен ден, а р</w:t>
      </w:r>
      <w:r w:rsidRPr="002A1A40">
        <w:rPr>
          <w:rFonts w:eastAsia="Calibri"/>
          <w:lang w:eastAsia="en-US"/>
        </w:rPr>
        <w:t xml:space="preserve">езултатите от него, под формата на протокол и графики, се предоставят на НПО, в срок от пет работни дни, след провеждане на изпитанието. </w:t>
      </w:r>
    </w:p>
    <w:p w14:paraId="5FEF01F4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lastRenderedPageBreak/>
        <w:t xml:space="preserve">Ако тези резултати потвърждават параметрите от Таблица 1, се приема, че ССЕБ участва ефективно в първичното регулиране на честотата. За времето на изпитанието, </w:t>
      </w:r>
      <w:r w:rsidRPr="002A1A40">
        <w:rPr>
          <w:rFonts w:eastAsia="Calibri"/>
        </w:rPr>
        <w:t>ОССЕБ</w:t>
      </w:r>
      <w:r w:rsidRPr="002A1A40">
        <w:rPr>
          <w:rFonts w:eastAsia="Calibri"/>
          <w:lang w:eastAsia="en-US"/>
        </w:rPr>
        <w:t xml:space="preserve"> не получава заплащане за участие в първичното регулиране.</w:t>
      </w:r>
    </w:p>
    <w:p w14:paraId="6F2AC754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Ако при изпитанието, някой от параметрите не съответства на посочените в Таблица 1, ОССЕБ извежда функцията "Първично регулиране" на ССЕБ и незабавно подава заявка до НПО</w:t>
      </w:r>
      <w:r w:rsidRPr="002A1A40">
        <w:rPr>
          <w:rFonts w:eastAsia="Calibri"/>
          <w:caps/>
          <w:lang w:eastAsia="en-US"/>
        </w:rPr>
        <w:t xml:space="preserve">, </w:t>
      </w:r>
      <w:r w:rsidRPr="002A1A40">
        <w:rPr>
          <w:rFonts w:eastAsia="Calibri"/>
          <w:lang w:eastAsia="en-US"/>
        </w:rPr>
        <w:t xml:space="preserve">в която посочва причините и сроковете за тяхното отстраняване и възстановяване на нормалната работа на първичното регулиране. За периода на изведено "Първично регулиране", ОССЕБ не се санкционира и не получава заплащане до момента на доказване на параметрите и възстановяване на нормалната работа на първичното регулиране. </w:t>
      </w:r>
    </w:p>
    <w:p w14:paraId="572DCB9D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ОССЕБ получава заплащане за участието на ССЕБ в първичното регулиране за всеки предходен месец. Сумата за плащане се изчислява като произведение на периодите на пълноценно участие на ССЕБ в часове, по резерва за първично регулиране, по цената за първично регулиране. Периодите на пълноценно участие на ССЕБ в първичното регулиране се оформят в протокол, на базата на архивните данни от управляващата система на ССЕБ, като се сумира времето на въведена честотна корекция на ССЕБ. Този протокол се изготвя след края на всеки месец от ОССЕБ и се изпраща за преглед и одобрение към НПО. </w:t>
      </w:r>
    </w:p>
    <w:p w14:paraId="12E927AB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При настъпване на смущение в честотата на електроенергийната система по-голямо от +/-100mHz и установяване на непълноценно участие на ССЕБ в първичното регулиране на честотата, неустойката се определя за периода след последния доказан случай на пълноценно участие в размер, определен като сума от произведенията на часовете по диапазона за първично регулиране на ССЕБ, по цената за разполагаемост за първично регулиране. </w:t>
      </w:r>
    </w:p>
    <w:p w14:paraId="15A3989A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При всяко въвеждане, както и при необходимост от оперативно извеждане на ССЕБ от първичното регулиране, ОССЕБ</w:t>
      </w:r>
      <w:r w:rsidRPr="002F128B">
        <w:rPr>
          <w:rFonts w:eastAsia="Calibri"/>
          <w:lang w:eastAsia="en-US"/>
        </w:rPr>
        <w:t xml:space="preserve"> </w:t>
      </w:r>
      <w:r w:rsidRPr="002A1A40">
        <w:rPr>
          <w:rFonts w:eastAsia="Calibri"/>
          <w:lang w:eastAsia="en-US"/>
        </w:rPr>
        <w:t>информира НПО, като пояснява причината за това. От своя страна НПО записва в оперативния дневник датата и часа на въвеждането или извеждането на първичното регулиране на ССЕБ и причината.</w:t>
      </w:r>
    </w:p>
    <w:p w14:paraId="4021F861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НПО информира ОССЕБ за всеки случай на регистрирано непълноценно участие в първичното регулиране, в срок от десет работни дни.</w:t>
      </w:r>
    </w:p>
    <w:p w14:paraId="7242700F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Когато ССЕБ не участва в първичното регулиране по разрешена от НПО заявка, ОССЕБ не получава заплащане за участие в първичното регулиране и не дължи неустойки. </w:t>
      </w:r>
    </w:p>
    <w:p w14:paraId="79D1F2F2" w14:textId="77777777" w:rsidR="002A1A40" w:rsidRPr="002A1A40" w:rsidRDefault="002A1A40" w:rsidP="002F128B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НПО има право да разпорежда извеждане на ССЕБ от участие в първичното регулиране, при което ОССЕБ няма да получава заплащане за първично регулиране.</w:t>
      </w:r>
    </w:p>
    <w:p w14:paraId="066225BA" w14:textId="77777777" w:rsidR="002A1A40" w:rsidRPr="002A1A40" w:rsidRDefault="002A1A40" w:rsidP="002A1A40">
      <w:pPr>
        <w:numPr>
          <w:ilvl w:val="1"/>
          <w:numId w:val="0"/>
        </w:numPr>
        <w:tabs>
          <w:tab w:val="left" w:pos="567"/>
          <w:tab w:val="left" w:pos="851"/>
        </w:tabs>
        <w:spacing w:before="120" w:after="120"/>
        <w:ind w:left="284" w:right="57" w:hanging="142"/>
        <w:jc w:val="both"/>
        <w:outlineLvl w:val="0"/>
        <w:rPr>
          <w:rFonts w:eastAsia="Calibri"/>
          <w:b/>
          <w:bCs/>
          <w:lang w:eastAsia="en-US"/>
        </w:rPr>
      </w:pPr>
      <w:r w:rsidRPr="002A1A40">
        <w:rPr>
          <w:rFonts w:eastAsia="Calibri"/>
          <w:b/>
          <w:lang w:eastAsia="en-US"/>
        </w:rPr>
        <w:t>Допълнителни пояснения</w:t>
      </w:r>
    </w:p>
    <w:p w14:paraId="7E4E1520" w14:textId="77777777" w:rsidR="002A1A40" w:rsidRPr="002A1A40" w:rsidRDefault="002A1A40" w:rsidP="00FF4731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Първичното регулиране на честотата (честотно зависим режим) е честотна корекция по статична характеристика на заданието по активна мощност на ССЕБ, чието първично регулиране е активирано по разпореждане на НПО. Функцията за първично регулиране трябва да е интегрирана в управляващата система на ССЕБ, като информацията за честотата на системата трябва да се получава от напрежението на шини средно или високо напрежение, в повишаващата подстанция на ССЕБ. Допуска се грешка в локалното устройство за измерване на честотата за нуждите на първичното регулиране, не по-голяма от +/-10 </w:t>
      </w:r>
      <w:proofErr w:type="spellStart"/>
      <w:r w:rsidRPr="002A1A40">
        <w:rPr>
          <w:rFonts w:eastAsia="Calibri"/>
          <w:lang w:eastAsia="en-US"/>
        </w:rPr>
        <w:t>mHz</w:t>
      </w:r>
      <w:proofErr w:type="spellEnd"/>
      <w:r w:rsidRPr="002A1A40">
        <w:rPr>
          <w:rFonts w:eastAsia="Calibri"/>
          <w:lang w:eastAsia="en-US"/>
        </w:rPr>
        <w:t>.</w:t>
      </w:r>
    </w:p>
    <w:p w14:paraId="148D748C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lastRenderedPageBreak/>
        <w:t xml:space="preserve">Резервът за първично регулиране е положителната част на обхвата на първичното регулиране от работната точка преди смущението, до максималната мощност за първично регулиране. </w:t>
      </w:r>
    </w:p>
    <w:p w14:paraId="11BCE585" w14:textId="77777777" w:rsidR="002A1A40" w:rsidRPr="002A1A40" w:rsidRDefault="002A1A40" w:rsidP="002F128B">
      <w:pPr>
        <w:spacing w:before="120" w:after="120"/>
        <w:ind w:left="360" w:firstLine="349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Цялата договорена мощност за първично регулиране трябва да се активира при честотно отклонение от ± 200mHz, до 30s от началото на смущението. Допустимото </w:t>
      </w:r>
      <w:proofErr w:type="spellStart"/>
      <w:r w:rsidRPr="002A1A40">
        <w:rPr>
          <w:rFonts w:eastAsia="Calibri"/>
          <w:lang w:eastAsia="en-US"/>
        </w:rPr>
        <w:t>пререгулиране</w:t>
      </w:r>
      <w:proofErr w:type="spellEnd"/>
      <w:r w:rsidRPr="002A1A40">
        <w:rPr>
          <w:rFonts w:eastAsia="Calibri"/>
          <w:lang w:eastAsia="en-US"/>
        </w:rPr>
        <w:t xml:space="preserve"> на активната мощност е 10%. </w:t>
      </w:r>
    </w:p>
    <w:p w14:paraId="16BDDDCF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Ако отклонението на честотата в мрежата надхвърли +/-200mHz, отдаденият резерв за първично регулиране трябва да остане същия, както при +/-200mHz, т.е. във функцията за първично регулиране трябва да има ограничител, който да не допуска изменение на мощността с повече от договорения с НПО резерв. Изпробването на този ограничител трябва да се предвиди в първоначалните изпитания на първичното регулиране, като се имитира симулирано изменение на честотата +/-300mHz и се наблюдава - изменението на мощността да не надхвърля договорения с НПО резерв.</w:t>
      </w:r>
    </w:p>
    <w:p w14:paraId="0CF31469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Първичното регулиране е необходимо през цялото време на отклонение на честотата на електроенергийната система от зададената. ССЕБ трябва да може да го предоставя за цялото договорено с НПО време за задържане на резерва.</w:t>
      </w:r>
    </w:p>
    <w:p w14:paraId="6462BB30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Първичното регулиране трябва да може да се въвежда и извежда от ОССЕБ, по нареждане на диспечерите на НПО, като промяната се регистрира от управляващата система на ССЕБ.</w:t>
      </w:r>
    </w:p>
    <w:p w14:paraId="3AB3FF5F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Мъртвата зона при необходимост, трябва да може да се извежда/въвежда от персонала на ОССЕБ, без помощта на външни специалисти.</w:t>
      </w:r>
    </w:p>
    <w:p w14:paraId="2658BEAC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Тестването на първичното регулиране се извършва със сигнал от честотен симулатор, интегриран в управляващата система на ССЕБ, който замества сигнала от реално измерената честота в ЕЕС, за времето на изпитанието.</w:t>
      </w:r>
    </w:p>
    <w:p w14:paraId="35979A30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Начинът и последователността на тестване на първичното регулиране се определя от НПО. Предварителният квалификационен тест е за доказване техническата способност на ССЕБ да изпълнява изискванията на чл.46 (ал.4, 5, 6, 7), чл.96 и чл.97 от ПУЕЕС и се извършва задължително в присъствието на представител на НПО.</w:t>
      </w:r>
    </w:p>
    <w:p w14:paraId="1402E4C7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Ежемесечното тестване на първичното регулиране на ССЕБ трябва да се автоматизира така, че персонала на ОССЕБ да може да извършва тестовете, без помощта на външни специалисти. </w:t>
      </w:r>
    </w:p>
    <w:p w14:paraId="4E0F68C1" w14:textId="77777777" w:rsidR="002A1A40" w:rsidRPr="002A1A40" w:rsidRDefault="002A1A40" w:rsidP="002F128B">
      <w:pPr>
        <w:spacing w:before="120" w:after="120"/>
        <w:ind w:left="360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За нуждите на контрола и тестването на първичното регулиране, управляващата система на ССЕБ трябва да има SCADA система за регистриране, визуализация и съхраняване на данни, синхронизирана по време. SCADA системата на ССЕБ трябва да може да генерира графики (диаграми) в реално време, с разделителна способност, не по-ниска от 1 точка/</w:t>
      </w:r>
      <w:proofErr w:type="spellStart"/>
      <w:r w:rsidRPr="002A1A40">
        <w:rPr>
          <w:rFonts w:eastAsia="Calibri"/>
          <w:lang w:eastAsia="en-US"/>
        </w:rPr>
        <w:t>sec</w:t>
      </w:r>
      <w:proofErr w:type="spellEnd"/>
      <w:r w:rsidRPr="002A1A40">
        <w:rPr>
          <w:rFonts w:eastAsia="Calibri"/>
          <w:lang w:eastAsia="en-US"/>
        </w:rPr>
        <w:t xml:space="preserve">. и продължителност на записа - минимум 15 </w:t>
      </w:r>
      <w:proofErr w:type="spellStart"/>
      <w:r w:rsidRPr="002A1A40">
        <w:rPr>
          <w:rFonts w:eastAsia="Calibri"/>
          <w:lang w:eastAsia="en-US"/>
        </w:rPr>
        <w:t>min</w:t>
      </w:r>
      <w:proofErr w:type="spellEnd"/>
      <w:r w:rsidRPr="002A1A40">
        <w:rPr>
          <w:rFonts w:eastAsia="Calibri"/>
          <w:lang w:eastAsia="en-US"/>
        </w:rPr>
        <w:t>. Графиките трябва да могат да се документират като файл и на хартия. Основните величини за регистрация са следните моментни стойности:</w:t>
      </w:r>
    </w:p>
    <w:p w14:paraId="40329260" w14:textId="77777777" w:rsidR="002A1A40" w:rsidRPr="00FF4731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FF4731">
        <w:rPr>
          <w:rFonts w:ascii="Times New Roman" w:eastAsia="Calibri" w:hAnsi="Times New Roman"/>
          <w:sz w:val="24"/>
          <w:szCs w:val="24"/>
          <w:lang w:eastAsia="en-US"/>
        </w:rPr>
        <w:t xml:space="preserve">симулирана честота, </w:t>
      </w:r>
      <w:proofErr w:type="spellStart"/>
      <w:r w:rsidRPr="00FF4731">
        <w:rPr>
          <w:rFonts w:ascii="Times New Roman" w:eastAsia="Calibri" w:hAnsi="Times New Roman"/>
          <w:sz w:val="24"/>
          <w:szCs w:val="24"/>
          <w:lang w:eastAsia="en-US"/>
        </w:rPr>
        <w:t>Hz</w:t>
      </w:r>
      <w:proofErr w:type="spellEnd"/>
    </w:p>
    <w:p w14:paraId="6F2633AE" w14:textId="77777777" w:rsidR="002A1A40" w:rsidRPr="00FF4731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FF4731">
        <w:rPr>
          <w:rFonts w:ascii="Times New Roman" w:eastAsia="Calibri" w:hAnsi="Times New Roman"/>
          <w:sz w:val="24"/>
          <w:szCs w:val="24"/>
          <w:lang w:eastAsia="en-US"/>
        </w:rPr>
        <w:t>натоварване на ССЕБ – измерено, MW</w:t>
      </w:r>
    </w:p>
    <w:p w14:paraId="27998D01" w14:textId="77777777" w:rsidR="002A1A40" w:rsidRPr="00FF4731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FF4731">
        <w:rPr>
          <w:rFonts w:ascii="Times New Roman" w:eastAsia="Calibri" w:hAnsi="Times New Roman"/>
          <w:sz w:val="24"/>
          <w:szCs w:val="24"/>
          <w:lang w:eastAsia="en-US"/>
        </w:rPr>
        <w:t>натоварване на ССЕБ – задание, MW</w:t>
      </w:r>
    </w:p>
    <w:p w14:paraId="48C31D54" w14:textId="77777777" w:rsidR="002A1A40" w:rsidRPr="002A1A40" w:rsidRDefault="002A1A40" w:rsidP="00FF4731">
      <w:pPr>
        <w:spacing w:before="120" w:after="120"/>
        <w:ind w:left="360" w:hanging="218"/>
        <w:jc w:val="both"/>
        <w:outlineLvl w:val="1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lastRenderedPageBreak/>
        <w:t xml:space="preserve">Резултатите от тестовете се отчитат освен с графики и с протокол, съдържащ в табличен вид резултатите от изпитанията и датата и часа на провеждане тестовете. </w:t>
      </w:r>
    </w:p>
    <w:p w14:paraId="004901AD" w14:textId="77777777" w:rsidR="002A1A40" w:rsidRPr="002A1A40" w:rsidRDefault="002A1A40" w:rsidP="002A1A40">
      <w:pPr>
        <w:numPr>
          <w:ilvl w:val="1"/>
          <w:numId w:val="0"/>
        </w:numPr>
        <w:tabs>
          <w:tab w:val="left" w:pos="567"/>
          <w:tab w:val="left" w:pos="851"/>
        </w:tabs>
        <w:spacing w:before="120" w:after="120"/>
        <w:ind w:left="284" w:right="57" w:hanging="142"/>
        <w:jc w:val="both"/>
        <w:outlineLvl w:val="0"/>
        <w:rPr>
          <w:rFonts w:eastAsia="Calibri"/>
          <w:b/>
          <w:lang w:eastAsia="en-US"/>
        </w:rPr>
      </w:pPr>
      <w:r w:rsidRPr="002A1A40">
        <w:rPr>
          <w:rFonts w:eastAsia="Calibri"/>
          <w:b/>
          <w:lang w:eastAsia="en-US"/>
        </w:rPr>
        <w:t>Обмен на информация в реално време</w:t>
      </w:r>
    </w:p>
    <w:p w14:paraId="0BD1FB61" w14:textId="77777777" w:rsidR="002A1A40" w:rsidRPr="002A1A40" w:rsidRDefault="002A1A40" w:rsidP="00FF4731">
      <w:pPr>
        <w:spacing w:before="120" w:after="120"/>
        <w:ind w:firstLine="142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ОССЕБ предоставя на НПО данни за конкретната единица/модул към информационно-управляващата система на НПО (SCADA/EMS):</w:t>
      </w:r>
    </w:p>
    <w:p w14:paraId="11A56E31" w14:textId="77777777" w:rsidR="002A1A40" w:rsidRPr="002A1A40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A1A40">
        <w:rPr>
          <w:rFonts w:ascii="Times New Roman" w:eastAsia="Calibri" w:hAnsi="Times New Roman"/>
          <w:sz w:val="24"/>
          <w:szCs w:val="24"/>
          <w:lang w:eastAsia="en-US"/>
        </w:rPr>
        <w:t>статус на първичното регулиране – включено/изключено;</w:t>
      </w:r>
    </w:p>
    <w:p w14:paraId="12810744" w14:textId="77777777" w:rsidR="002A1A40" w:rsidRPr="002A1A40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A1A40">
        <w:rPr>
          <w:rFonts w:ascii="Times New Roman" w:eastAsia="Calibri" w:hAnsi="Times New Roman"/>
          <w:sz w:val="24"/>
          <w:szCs w:val="24"/>
          <w:lang w:eastAsia="en-US"/>
        </w:rPr>
        <w:t xml:space="preserve">размер на предоставяният резерв в </w:t>
      </w:r>
      <w:r w:rsidRPr="00FF4731">
        <w:rPr>
          <w:rFonts w:ascii="Times New Roman" w:eastAsia="Calibri" w:hAnsi="Times New Roman"/>
          <w:sz w:val="24"/>
          <w:szCs w:val="24"/>
          <w:lang w:eastAsia="en-US"/>
        </w:rPr>
        <w:t>MW</w:t>
      </w:r>
      <w:r w:rsidRPr="002A1A4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7B006C24" w14:textId="77777777" w:rsidR="002A1A40" w:rsidRPr="002A1A40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A1A40">
        <w:rPr>
          <w:rFonts w:ascii="Times New Roman" w:eastAsia="Calibri" w:hAnsi="Times New Roman"/>
          <w:sz w:val="24"/>
          <w:szCs w:val="24"/>
          <w:lang w:eastAsia="en-US"/>
        </w:rPr>
        <w:t xml:space="preserve">измерена честота от управляващата система на ССЕБ, </w:t>
      </w:r>
      <w:r w:rsidRPr="00FF4731">
        <w:rPr>
          <w:rFonts w:ascii="Times New Roman" w:eastAsia="Calibri" w:hAnsi="Times New Roman"/>
          <w:sz w:val="24"/>
          <w:szCs w:val="24"/>
          <w:lang w:eastAsia="en-US"/>
        </w:rPr>
        <w:t>Hz</w:t>
      </w:r>
      <w:r w:rsidRPr="002A1A4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5A419E9F" w14:textId="77777777" w:rsidR="002A1A40" w:rsidRPr="002A1A40" w:rsidRDefault="002A1A40" w:rsidP="00FF4731">
      <w:pPr>
        <w:pStyle w:val="ListParagraph"/>
        <w:numPr>
          <w:ilvl w:val="0"/>
          <w:numId w:val="27"/>
        </w:numPr>
        <w:outlineLvl w:val="2"/>
        <w:rPr>
          <w:rFonts w:ascii="Times New Roman" w:eastAsia="Calibri" w:hAnsi="Times New Roman"/>
          <w:sz w:val="24"/>
          <w:szCs w:val="24"/>
          <w:lang w:eastAsia="en-US"/>
        </w:rPr>
      </w:pPr>
      <w:r w:rsidRPr="002A1A40">
        <w:rPr>
          <w:rFonts w:ascii="Times New Roman" w:eastAsia="Calibri" w:hAnsi="Times New Roman"/>
          <w:sz w:val="24"/>
          <w:szCs w:val="24"/>
          <w:lang w:eastAsia="en-US"/>
        </w:rPr>
        <w:t>моментен разполагаем капацитет за производство/потребление на ССЕБ – сумарен и по модули</w:t>
      </w:r>
      <w:r w:rsidRPr="00FF4731">
        <w:rPr>
          <w:rFonts w:ascii="Times New Roman" w:eastAsia="Calibri" w:hAnsi="Times New Roman"/>
          <w:sz w:val="24"/>
          <w:szCs w:val="24"/>
          <w:lang w:eastAsia="en-US"/>
        </w:rPr>
        <w:t>, MWh</w:t>
      </w:r>
      <w:r w:rsidRPr="002A1A40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226F0D75" w14:textId="77777777" w:rsidR="002A1A40" w:rsidRPr="002A1A40" w:rsidRDefault="002A1A40" w:rsidP="002A1A40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Да се гарантира точност на измерванията не по-лоша от 0.5% и те да се предават спонтанно и циклично. </w:t>
      </w:r>
      <w:proofErr w:type="spellStart"/>
      <w:r w:rsidRPr="002A1A40">
        <w:rPr>
          <w:rFonts w:eastAsia="Calibri"/>
          <w:lang w:eastAsia="en-US"/>
        </w:rPr>
        <w:t>Телесигнализациите</w:t>
      </w:r>
      <w:proofErr w:type="spellEnd"/>
      <w:r w:rsidRPr="002A1A40">
        <w:rPr>
          <w:rFonts w:eastAsia="Calibri"/>
          <w:lang w:eastAsia="en-US"/>
        </w:rPr>
        <w:t xml:space="preserve"> да се предават с времето на регистрирането им в локалното устройство на управляващата система на подстанцията на обекта, с точност не по-лоша от 10msec.</w:t>
      </w:r>
      <w:r w:rsidRPr="002A1A40">
        <w:rPr>
          <w:rFonts w:eastAsia="Calibri"/>
          <w:lang w:val="en-US" w:eastAsia="en-US"/>
        </w:rPr>
        <w:t xml:space="preserve"> </w:t>
      </w:r>
      <w:r w:rsidRPr="002A1A40">
        <w:rPr>
          <w:rFonts w:eastAsia="Calibri"/>
          <w:lang w:eastAsia="en-US"/>
        </w:rPr>
        <w:t>Резолюцията на предаваните данни се определят от НПО.</w:t>
      </w:r>
    </w:p>
    <w:p w14:paraId="19641739" w14:textId="77777777" w:rsidR="002A1A40" w:rsidRPr="002A1A40" w:rsidRDefault="002A1A40" w:rsidP="002A1A40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 xml:space="preserve">ССЕБ трябва да отговарят на критериите за комуникация (комуникационни протоколи, обмен на информация и др.), определени от НПО преди началото на предварителните квалификационни тестове. Те трябва да отговарят на стандартите на НПО за комуникационните протоколи за обмен на информация в реално време (https://www.eso.bg/doc?463). Тестовете изискват оперативна комуникация със системата за автоматично управление на модулите/единиците на ССЕБ с всички сигнали, определени НПО. </w:t>
      </w:r>
    </w:p>
    <w:p w14:paraId="2FDBB7C1" w14:textId="77777777" w:rsidR="002A1A40" w:rsidRPr="002A1A40" w:rsidRDefault="002A1A40" w:rsidP="002A1A40">
      <w:pPr>
        <w:numPr>
          <w:ilvl w:val="1"/>
          <w:numId w:val="0"/>
        </w:numPr>
        <w:tabs>
          <w:tab w:val="left" w:pos="567"/>
          <w:tab w:val="left" w:pos="851"/>
        </w:tabs>
        <w:spacing w:before="120" w:after="120"/>
        <w:ind w:left="284" w:right="57" w:hanging="142"/>
        <w:jc w:val="both"/>
        <w:outlineLvl w:val="0"/>
        <w:rPr>
          <w:rFonts w:eastAsia="Calibri"/>
          <w:b/>
          <w:lang w:eastAsia="en-US"/>
        </w:rPr>
      </w:pPr>
      <w:r w:rsidRPr="002A1A40">
        <w:rPr>
          <w:rFonts w:eastAsia="Calibri"/>
          <w:b/>
          <w:lang w:eastAsia="en-US"/>
        </w:rPr>
        <w:t>Техническа информация за ССЕБ</w:t>
      </w:r>
    </w:p>
    <w:p w14:paraId="1B253CFC" w14:textId="77777777" w:rsidR="002A1A40" w:rsidRPr="002A1A40" w:rsidRDefault="002A1A40" w:rsidP="002A1A40">
      <w:pPr>
        <w:spacing w:before="120" w:after="120"/>
        <w:jc w:val="both"/>
        <w:rPr>
          <w:rFonts w:eastAsia="Calibri"/>
          <w:lang w:eastAsia="en-US"/>
        </w:rPr>
      </w:pPr>
      <w:r w:rsidRPr="002A1A40">
        <w:rPr>
          <w:rFonts w:eastAsia="Calibri"/>
          <w:lang w:eastAsia="en-US"/>
        </w:rPr>
        <w:t>Освен информацията по чл. 79. (1) от Наредба №6 за присъединяване на обекти към електрическите мрежи, НПО може да поиска допълнителна техническа информация, свързана с пълния и експлоатационния капацитет на ССЕБ, оперативните ограничения и т.н.</w:t>
      </w:r>
    </w:p>
    <w:p w14:paraId="7EA1492A" w14:textId="2CB01E62" w:rsidR="002A1A40" w:rsidRPr="00FF4731" w:rsidRDefault="002A1A40" w:rsidP="00FF4731">
      <w:pPr>
        <w:pStyle w:val="Heading2"/>
        <w:numPr>
          <w:ilvl w:val="1"/>
          <w:numId w:val="29"/>
        </w:numPr>
        <w:tabs>
          <w:tab w:val="num" w:pos="1747"/>
          <w:tab w:val="left" w:pos="9043"/>
        </w:tabs>
        <w:rPr>
          <w:b/>
        </w:rPr>
      </w:pPr>
      <w:r w:rsidRPr="00FF4731">
        <w:rPr>
          <w:b/>
        </w:rPr>
        <w:t>Условия и параметри за участие на ССЕБ в автоматично вторично регулиране (</w:t>
      </w:r>
      <w:proofErr w:type="spellStart"/>
      <w:r w:rsidRPr="00FF4731">
        <w:rPr>
          <w:b/>
        </w:rPr>
        <w:t>аВРЧ</w:t>
      </w:r>
      <w:proofErr w:type="spellEnd"/>
      <w:r w:rsidRPr="00FF4731">
        <w:rPr>
          <w:b/>
        </w:rPr>
        <w:t>) на честотата и обменните мощности на електроенергийната система.</w:t>
      </w:r>
    </w:p>
    <w:p w14:paraId="0C80C440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 w:hanging="357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Участието в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 е съгласно изискванията на чл. 98 от ПУЕЕС. </w:t>
      </w:r>
    </w:p>
    <w:p w14:paraId="42F5859F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Модул/единица, предоставящи резерв участва пълноценно във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, когато стойността на активната му мощност се задава от централния регулатор (САРЧМ) на ЕСО и чрез телекомуникация и телемеханика автоматично се предава и изпълнява от системата за управление на единицата/модула в съответствие с настроените параметри на регулиране (диапазон на регулиране, скорост на изменение на мощността и закъснение на изпълнение на заданието), а точността на изпълнение на заданието е в рамките на договорената, без да се изискват допълнителни разпореждания и команди. </w:t>
      </w:r>
    </w:p>
    <w:p w14:paraId="6013EB58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"Работен диапазон за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" на модул/единица, предоставящи резерв по активна мощност е разликата между максималната и минималната активни мощности, в които модула/единицата, предоставящи резерв могат да работят без ограничения в рамките на периода на валидност на предложението по време под управление на централния регулатор. </w:t>
      </w:r>
    </w:p>
    <w:p w14:paraId="77386CDA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lastRenderedPageBreak/>
        <w:t>"Скорост на изменение на мощността" е технологично определената и/или ограничена от автоматиката на модула/единицата, предоставящи резерв, скорост на изменение на мощността при задание за изменение на активната мощност от САРЧМ на ЕСО.</w:t>
      </w:r>
    </w:p>
    <w:p w14:paraId="4AB4D7E3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"Закъснение на изпълнение на заданието по активна мощност" е разликата между действителното време на достигане на зададената мощност от модул/единица, предоставящи резерв, и времето, в което централния регулатор е задал новото задание. </w:t>
      </w:r>
    </w:p>
    <w:p w14:paraId="16CB0080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"Точност на изпълнение на заданието" в % е отношението на разликата между реализираната активна мощност и зададената от  след завършване на преходния процес и трябва да съответства на изискванията в чл. 98, ал.3, т.3 от ПУЕЕС. </w:t>
      </w:r>
    </w:p>
    <w:p w14:paraId="04DEEA99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"Условие за съвместно регулиране" - освен в осигуряването на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, модулите/единиците могат също да участват в осигуряването на резерв за първично регулиране и в осигуряването на резерв за ръчно вторично регулиране на честотата и обменните мощности. </w:t>
      </w:r>
    </w:p>
    <w:p w14:paraId="76DA969E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"Период на участие“ на модул/единица, предоставящи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" е интервала от време, през което модул/единица, предоставящи резерв участва пълноценно в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. Началото на периода започва да се отчита след получаване на сигнала от модул/единица, предоставящи резерв в ЕСО, че модул/единица, предоставящи резерв е включен към дистанционно управление по активна мощност и след като диспечерът на ЕСО е задал режим на управление на модул/единица, предоставящи резерв - участие в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, а модулът/единицата са започнали да изпълняват заданието в съответствие с настроените регулируеми параметри. </w:t>
      </w:r>
    </w:p>
    <w:p w14:paraId="3AD11D97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 xml:space="preserve">„Средства за контрол и регистрация на участието на модулите/единиците в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“ - контролът за участията на всеки модул/единица, предоставящи резерв за </w:t>
      </w:r>
      <w:proofErr w:type="spellStart"/>
      <w:r w:rsidRPr="002A1A40">
        <w:rPr>
          <w:rFonts w:ascii="Times New Roman" w:hAnsi="Times New Roman"/>
          <w:sz w:val="24"/>
          <w:szCs w:val="24"/>
        </w:rPr>
        <w:t>аВРЧ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 се извършва по стойностите на параметрите, регистрирани от информационно-управляващата система на ЕСО (SCADA/EMS). </w:t>
      </w:r>
    </w:p>
    <w:p w14:paraId="0368FCCE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ССЕБ трябва да отговарят на критериите за комуникация (комуникационни протоколи, обмен на информация и др.), определени от ЕСО преди началото на предварителните квалификационни тестове. Те трябва да отговарят на стандартите на ЕСО за комуникационните протоколи за обмен на информация в реално време (</w:t>
      </w:r>
      <w:hyperlink r:id="rId9" w:history="1">
        <w:r w:rsidRPr="002A1A40">
          <w:rPr>
            <w:rFonts w:ascii="Times New Roman" w:hAnsi="Times New Roman"/>
            <w:sz w:val="24"/>
            <w:szCs w:val="24"/>
          </w:rPr>
          <w:t>https://www.eso.bg/doc?463</w:t>
        </w:r>
      </w:hyperlink>
      <w:r w:rsidRPr="002A1A40">
        <w:rPr>
          <w:rFonts w:ascii="Times New Roman" w:hAnsi="Times New Roman"/>
          <w:sz w:val="24"/>
          <w:szCs w:val="24"/>
        </w:rPr>
        <w:t xml:space="preserve">). Тестовете изискват оперативна комуникация със системата за автоматично управление на модулите/единиците на ССЕБ с всички сигнали, определени ЕСО. </w:t>
      </w:r>
    </w:p>
    <w:p w14:paraId="6DB7213B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ССЕБ  предоставят изчерпателна информация по следните точки, като минимум:</w:t>
      </w:r>
    </w:p>
    <w:p w14:paraId="2582CFB1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Пълен капацитет за енергийно съхранение;</w:t>
      </w:r>
    </w:p>
    <w:p w14:paraId="26668B80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Оперативни ограничения, които оказват влияние върху използването на системата за съхранение;</w:t>
      </w:r>
    </w:p>
    <w:p w14:paraId="47026AF1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Експлоатационен капацитет на системата за съхранение;</w:t>
      </w:r>
    </w:p>
    <w:p w14:paraId="42CD774B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Допустима мощност на зареждане/разреждане;</w:t>
      </w:r>
    </w:p>
    <w:p w14:paraId="5F66469F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Описание на системата за стратегическо планиране на работата на системата за съхранение;</w:t>
      </w:r>
    </w:p>
    <w:p w14:paraId="71B01B73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Информация за степента на използване на системата за стратегическо планиране (непрекъснато, на всеки 5 минути и т.н.);</w:t>
      </w:r>
    </w:p>
    <w:p w14:paraId="0C19F4E1" w14:textId="77777777" w:rsidR="002A1A40" w:rsidRPr="002A1A40" w:rsidRDefault="002A1A40" w:rsidP="002A1A40">
      <w:pPr>
        <w:pStyle w:val="ListParagraph"/>
        <w:keepLines w:val="0"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sz w:val="24"/>
          <w:szCs w:val="24"/>
        </w:rPr>
        <w:t>Очаквана регулярност и размер на офертите.</w:t>
      </w:r>
    </w:p>
    <w:p w14:paraId="5AD41701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2A1A40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A1A40">
        <w:rPr>
          <w:rFonts w:ascii="Times New Roman" w:hAnsi="Times New Roman"/>
          <w:sz w:val="24"/>
          <w:szCs w:val="24"/>
        </w:rPr>
        <w:t xml:space="preserve">Данните трябва да се предават съгласно стандартите на ЕСО за обмен на информация в реално време и да се предават спонтанно при промяна и циклично. Точността на измерванията да не е по-лоша от 0.5%. </w:t>
      </w:r>
      <w:proofErr w:type="spellStart"/>
      <w:r w:rsidRPr="002A1A40">
        <w:rPr>
          <w:rFonts w:ascii="Times New Roman" w:hAnsi="Times New Roman"/>
          <w:sz w:val="24"/>
          <w:szCs w:val="24"/>
        </w:rPr>
        <w:t>Телесигнализациите</w:t>
      </w:r>
      <w:proofErr w:type="spellEnd"/>
      <w:r w:rsidRPr="002A1A40">
        <w:rPr>
          <w:rFonts w:ascii="Times New Roman" w:hAnsi="Times New Roman"/>
          <w:sz w:val="24"/>
          <w:szCs w:val="24"/>
        </w:rPr>
        <w:t xml:space="preserve"> да се предават с </w:t>
      </w:r>
      <w:r w:rsidRPr="002A1A40">
        <w:rPr>
          <w:rFonts w:ascii="Times New Roman" w:hAnsi="Times New Roman"/>
          <w:sz w:val="24"/>
          <w:szCs w:val="24"/>
        </w:rPr>
        <w:lastRenderedPageBreak/>
        <w:t xml:space="preserve">времето на регистрирането им в локалното устройство на управляващата система на ССЕБ с точност не по-лоша от 10 </w:t>
      </w:r>
      <w:proofErr w:type="spellStart"/>
      <w:r w:rsidRPr="002A1A40">
        <w:rPr>
          <w:rFonts w:ascii="Times New Roman" w:hAnsi="Times New Roman"/>
          <w:sz w:val="24"/>
          <w:szCs w:val="24"/>
        </w:rPr>
        <w:t>msec</w:t>
      </w:r>
      <w:proofErr w:type="spellEnd"/>
      <w:r w:rsidRPr="002A1A40">
        <w:rPr>
          <w:rFonts w:ascii="Times New Roman" w:hAnsi="Times New Roman"/>
          <w:sz w:val="24"/>
          <w:szCs w:val="24"/>
        </w:rPr>
        <w:t>.</w:t>
      </w:r>
    </w:p>
    <w:p w14:paraId="15837535" w14:textId="7F957413" w:rsidR="002A1A40" w:rsidRPr="00FF4731" w:rsidRDefault="00FF4731" w:rsidP="00FF4731">
      <w:pPr>
        <w:tabs>
          <w:tab w:val="left" w:pos="567"/>
          <w:tab w:val="left" w:pos="851"/>
        </w:tabs>
        <w:ind w:right="57"/>
        <w:outlineLvl w:val="0"/>
        <w:rPr>
          <w:rFonts w:eastAsia="Calibri"/>
          <w:b/>
          <w:lang w:eastAsia="en-US"/>
        </w:rPr>
      </w:pPr>
      <w:bookmarkStart w:id="2" w:name="_Toc533063830"/>
      <w:r>
        <w:rPr>
          <w:rFonts w:eastAsia="Calibri"/>
          <w:b/>
          <w:lang w:eastAsia="en-US"/>
        </w:rPr>
        <w:t xml:space="preserve">2.3 </w:t>
      </w:r>
      <w:r w:rsidR="002A1A40" w:rsidRPr="00FF4731">
        <w:rPr>
          <w:rFonts w:eastAsia="Calibri"/>
          <w:b/>
          <w:lang w:eastAsia="en-US"/>
        </w:rPr>
        <w:t>Списък със съкращения</w:t>
      </w:r>
      <w:bookmarkEnd w:id="2"/>
    </w:p>
    <w:p w14:paraId="6F341EAF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>ССЕБ - система за съхранение на енергия чрез батерии</w:t>
      </w:r>
    </w:p>
    <w:p w14:paraId="3D8A14C3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>ОССЕБ - оператор на система за съхранение на енергия чрез батерии</w:t>
      </w:r>
    </w:p>
    <w:p w14:paraId="754B59F9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>НПО - национален преносен оператор</w:t>
      </w:r>
    </w:p>
    <w:p w14:paraId="66C79D31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>ПУЕЕС - правила за управление на електроенергийната система</w:t>
      </w:r>
    </w:p>
    <w:p w14:paraId="12E644D5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 xml:space="preserve">FSM -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sensitive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mode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честотно зависим режим (първично регулиране) - означава режим на работа на модул за производство на електроенергия, в който активната мощност се мени в резултат от промяна в честотата на системата по такъв начин, че да спомага за възстановяването на целевата честота</w:t>
      </w:r>
    </w:p>
    <w:p w14:paraId="26EB65AA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 xml:space="preserve">LFSM-O -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limited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sensitive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mode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overfrequency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честотно зависим режим с ограничаване при повишена честота - означава работен режим на модул за производство на електроенергия, при който изходната активна мощност намалява в резултат на покачване на честотата на системата над определена стойност </w:t>
      </w:r>
    </w:p>
    <w:p w14:paraId="2FA7ECC5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r w:rsidRPr="002A1A40">
        <w:rPr>
          <w:rFonts w:ascii="Times New Roman" w:eastAsia="Calibri" w:hAnsi="Times New Roman"/>
          <w:sz w:val="24"/>
          <w:szCs w:val="24"/>
        </w:rPr>
        <w:t xml:space="preserve">LFSM-U -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limited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sensitive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mode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underfrequency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честотно зависим режим с ограничаване при понижена честота - означава работен режим на модул за производство на електроенергия, при който генерираната активна мощност нараства в резултат на спадане на честотата на системата под определена стойност </w:t>
      </w:r>
    </w:p>
    <w:p w14:paraId="58331C61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2A1A40">
        <w:rPr>
          <w:rFonts w:ascii="Times New Roman" w:eastAsia="Calibri" w:hAnsi="Times New Roman"/>
          <w:sz w:val="24"/>
          <w:szCs w:val="24"/>
        </w:rPr>
        <w:t>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response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deadband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зона на нечувствителност при изменение на честотата (мъртва зона) - интервал, използван целенасочено, за да се направи честотното регулиране нечувствително</w:t>
      </w:r>
    </w:p>
    <w:p w14:paraId="3BD494C6" w14:textId="77777777" w:rsidR="002A1A40" w:rsidRPr="002A1A40" w:rsidRDefault="002A1A40" w:rsidP="002A1A40">
      <w:pPr>
        <w:pStyle w:val="ListParagraph"/>
        <w:keepLines w:val="0"/>
        <w:numPr>
          <w:ilvl w:val="0"/>
          <w:numId w:val="22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A1A40">
        <w:rPr>
          <w:rFonts w:ascii="Times New Roman" w:eastAsia="Calibri" w:hAnsi="Times New Roman"/>
          <w:sz w:val="24"/>
          <w:szCs w:val="24"/>
        </w:rPr>
        <w:t>Frequency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response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A1A40">
        <w:rPr>
          <w:rFonts w:ascii="Times New Roman" w:eastAsia="Calibri" w:hAnsi="Times New Roman"/>
          <w:sz w:val="24"/>
          <w:szCs w:val="24"/>
        </w:rPr>
        <w:t>insensitivity</w:t>
      </w:r>
      <w:proofErr w:type="spellEnd"/>
      <w:r w:rsidRPr="002A1A40">
        <w:rPr>
          <w:rFonts w:ascii="Times New Roman" w:eastAsia="Calibri" w:hAnsi="Times New Roman"/>
          <w:sz w:val="24"/>
          <w:szCs w:val="24"/>
        </w:rPr>
        <w:t xml:space="preserve"> - нечувствителност при изменение на честотата - характерна за системата за регулиране характеристика, определена като минималната стойност на</w:t>
      </w:r>
      <w:r w:rsidRPr="002A1A40">
        <w:rPr>
          <w:rFonts w:ascii="Times New Roman" w:hAnsi="Times New Roman"/>
          <w:sz w:val="24"/>
          <w:szCs w:val="24"/>
        </w:rPr>
        <w:t xml:space="preserve"> изменението на честотата или на входния сигнал, което води до промяна на изходната мощност или изходния сигнал.</w:t>
      </w:r>
    </w:p>
    <w:p w14:paraId="232997F9" w14:textId="77777777" w:rsidR="00D76F2C" w:rsidRDefault="00D76F2C" w:rsidP="00D76F2C">
      <w:pPr>
        <w:pStyle w:val="ListParagraph"/>
        <w:keepLines w:val="0"/>
        <w:spacing w:before="0" w:after="160" w:line="259" w:lineRule="auto"/>
        <w:jc w:val="left"/>
        <w:rPr>
          <w:rFonts w:ascii="Times New Roman" w:hAnsi="Times New Roman"/>
          <w:sz w:val="24"/>
          <w:szCs w:val="24"/>
        </w:rPr>
      </w:pPr>
    </w:p>
    <w:p w14:paraId="0DB7FF3B" w14:textId="77777777" w:rsidR="00D76F2C" w:rsidRDefault="00D76F2C" w:rsidP="00D76F2C">
      <w:pPr>
        <w:pStyle w:val="ListParagraph"/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66C730C1" w14:textId="3FD0C959" w:rsidR="00D76F2C" w:rsidRPr="002A1A40" w:rsidRDefault="00FF4731" w:rsidP="00FF4731">
      <w:pPr>
        <w:pStyle w:val="ListParagraph"/>
        <w:keepLines w:val="0"/>
        <w:spacing w:before="0" w:after="160" w:line="259" w:lineRule="auto"/>
        <w:ind w:left="567" w:hanging="501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76F2C" w:rsidRPr="002A1A40">
        <w:rPr>
          <w:rFonts w:ascii="Times New Roman" w:hAnsi="Times New Roman"/>
          <w:b/>
          <w:bCs/>
          <w:sz w:val="24"/>
          <w:szCs w:val="24"/>
        </w:rPr>
        <w:t>Допълнителни изисквания по отношение на участниците в строителния процес и отделните компоненти на съоръжението за съхранение</w:t>
      </w:r>
    </w:p>
    <w:p w14:paraId="02A65068" w14:textId="77777777" w:rsidR="00D76F2C" w:rsidRPr="003474BD" w:rsidRDefault="00D76F2C" w:rsidP="00D76F2C">
      <w:pPr>
        <w:ind w:left="709"/>
        <w:jc w:val="both"/>
      </w:pPr>
    </w:p>
    <w:p w14:paraId="416755A9" w14:textId="44F522E0" w:rsidR="00D76F2C" w:rsidRPr="00FF4731" w:rsidRDefault="00D76F2C" w:rsidP="00FF4731">
      <w:pPr>
        <w:pStyle w:val="ListParagraph"/>
        <w:keepLines w:val="0"/>
        <w:numPr>
          <w:ilvl w:val="1"/>
          <w:numId w:val="30"/>
        </w:numPr>
        <w:spacing w:before="0" w:after="160" w:line="259" w:lineRule="auto"/>
        <w:ind w:left="567" w:hanging="567"/>
        <w:jc w:val="left"/>
        <w:rPr>
          <w:rFonts w:ascii="Times New Roman" w:hAnsi="Times New Roman"/>
          <w:b/>
          <w:bCs/>
          <w:sz w:val="24"/>
          <w:szCs w:val="24"/>
        </w:rPr>
      </w:pPr>
      <w:r w:rsidRPr="00FF4731">
        <w:rPr>
          <w:rFonts w:ascii="Times New Roman" w:hAnsi="Times New Roman"/>
          <w:b/>
          <w:bCs/>
          <w:sz w:val="24"/>
          <w:szCs w:val="24"/>
        </w:rPr>
        <w:t>Здраве и безопасност</w:t>
      </w:r>
    </w:p>
    <w:p w14:paraId="344E10DC" w14:textId="77777777" w:rsidR="00D76F2C" w:rsidRPr="003474BD" w:rsidRDefault="00D76F2C" w:rsidP="00D76F2C">
      <w:pPr>
        <w:ind w:left="709" w:firstLine="11"/>
      </w:pPr>
      <w:r>
        <w:rPr>
          <w:u w:val="single"/>
        </w:rPr>
        <w:t>Общ стандарт</w:t>
      </w:r>
      <w:r w:rsidRPr="003474BD">
        <w:t xml:space="preserve">: </w:t>
      </w:r>
      <w:bookmarkStart w:id="3" w:name="_Hlk169617051"/>
      <w:r w:rsidRPr="003474BD">
        <w:t>ISO 45001</w:t>
      </w:r>
      <w:r>
        <w:t>,</w:t>
      </w:r>
      <w:r w:rsidRPr="003474BD">
        <w:t xml:space="preserve"> </w:t>
      </w:r>
      <w:r w:rsidRPr="00314434">
        <w:rPr>
          <w:bCs/>
        </w:rPr>
        <w:t xml:space="preserve">издаден на името на: (а) изпълнителя на строителството (валиден за целия период от започване до завършване на строежа); (б) производителя на основните компоненти на съоръжението за съхранение (валиден за периода от датата на поръчка до датата на доставка на съответните компоненти); и (в) крайния получател, </w:t>
      </w:r>
      <w:r w:rsidRPr="00355077">
        <w:rPr>
          <w:bCs/>
        </w:rPr>
        <w:t xml:space="preserve"> </w:t>
      </w:r>
      <w:r>
        <w:rPr>
          <w:bCs/>
        </w:rPr>
        <w:t xml:space="preserve">който </w:t>
      </w:r>
      <w:r w:rsidRPr="00355077">
        <w:rPr>
          <w:bCs/>
        </w:rPr>
        <w:t>следва да го получи и представи в срок до 30 май 2026 г. или до 31 декември 2027 г., като в последния случай валидността на банковата гаранция за добро изпълнение следва да бъде удължена, за да покрие този допълнителен период</w:t>
      </w:r>
      <w:bookmarkEnd w:id="3"/>
      <w:r w:rsidRPr="003474BD">
        <w:t>.</w:t>
      </w:r>
    </w:p>
    <w:p w14:paraId="31E997F2" w14:textId="77777777" w:rsidR="00D76F2C" w:rsidRPr="003474BD" w:rsidRDefault="00D76F2C" w:rsidP="00D76F2C"/>
    <w:p w14:paraId="6976F873" w14:textId="77777777" w:rsidR="00D76F2C" w:rsidRPr="003474BD" w:rsidRDefault="00D76F2C" w:rsidP="00D76F2C">
      <w:pPr>
        <w:ind w:left="709" w:firstLine="11"/>
        <w:rPr>
          <w:u w:val="single"/>
        </w:rPr>
      </w:pPr>
      <w:r>
        <w:rPr>
          <w:u w:val="single"/>
        </w:rPr>
        <w:t>Специфични стандарти по отношение на производителите/доставчиците на оборудване</w:t>
      </w:r>
      <w:r w:rsidRPr="003474BD">
        <w:rPr>
          <w:u w:val="single"/>
        </w:rPr>
        <w:t>:</w:t>
      </w:r>
    </w:p>
    <w:tbl>
      <w:tblPr>
        <w:tblW w:w="7049" w:type="dxa"/>
        <w:tblInd w:w="709" w:type="dxa"/>
        <w:tblLook w:val="04A0" w:firstRow="1" w:lastRow="0" w:firstColumn="1" w:lastColumn="0" w:noHBand="0" w:noVBand="1"/>
      </w:tblPr>
      <w:tblGrid>
        <w:gridCol w:w="1859"/>
        <w:gridCol w:w="5195"/>
      </w:tblGrid>
      <w:tr w:rsidR="00D76F2C" w:rsidRPr="003474BD" w14:paraId="5DB89E8F" w14:textId="77777777" w:rsidTr="00F01B81">
        <w:trPr>
          <w:trHeight w:val="300"/>
        </w:trPr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426564E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Standard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DC9B1D9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Definition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</w:p>
        </w:tc>
      </w:tr>
      <w:tr w:rsidR="00D76F2C" w:rsidRPr="003474BD" w14:paraId="51C2F00E" w14:textId="77777777" w:rsidTr="00F01B81">
        <w:trPr>
          <w:trHeight w:val="300"/>
        </w:trPr>
        <w:tc>
          <w:tcPr>
            <w:tcW w:w="7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ADCB" w14:textId="77777777" w:rsidR="00D76F2C" w:rsidRPr="003474BD" w:rsidRDefault="00D76F2C" w:rsidP="00F01B81">
            <w:pPr>
              <w:rPr>
                <w:b/>
                <w:bCs/>
                <w:color w:val="000000"/>
                <w:highlight w:val="green"/>
                <w:lang w:eastAsia="en-GB"/>
              </w:rPr>
            </w:pPr>
            <w:proofErr w:type="spellStart"/>
            <w:r w:rsidRPr="003474BD">
              <w:rPr>
                <w:b/>
                <w:bCs/>
              </w:rPr>
              <w:lastRenderedPageBreak/>
              <w:t>Any</w:t>
            </w:r>
            <w:proofErr w:type="spellEnd"/>
            <w:r w:rsidRPr="003474BD">
              <w:rPr>
                <w:b/>
                <w:bCs/>
              </w:rPr>
              <w:t xml:space="preserve"> </w:t>
            </w:r>
            <w:proofErr w:type="spellStart"/>
            <w:r w:rsidRPr="003474BD">
              <w:rPr>
                <w:b/>
                <w:bCs/>
              </w:rPr>
              <w:t>technology</w:t>
            </w:r>
            <w:proofErr w:type="spellEnd"/>
            <w:r w:rsidRPr="003474BD">
              <w:rPr>
                <w:b/>
                <w:bCs/>
              </w:rPr>
              <w:t xml:space="preserve"> with an </w:t>
            </w:r>
            <w:proofErr w:type="spellStart"/>
            <w:r w:rsidRPr="003474BD">
              <w:rPr>
                <w:b/>
                <w:bCs/>
              </w:rPr>
              <w:t>electrical</w:t>
            </w:r>
            <w:proofErr w:type="spellEnd"/>
            <w:r w:rsidRPr="003474BD">
              <w:rPr>
                <w:b/>
                <w:bCs/>
              </w:rPr>
              <w:t xml:space="preserve"> </w:t>
            </w:r>
            <w:proofErr w:type="spellStart"/>
            <w:r w:rsidRPr="003474BD">
              <w:rPr>
                <w:b/>
                <w:bCs/>
              </w:rPr>
              <w:t>connection</w:t>
            </w:r>
            <w:proofErr w:type="spellEnd"/>
          </w:p>
        </w:tc>
      </w:tr>
      <w:tr w:rsidR="00D76F2C" w:rsidRPr="003474BD" w14:paraId="1C65769D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0227A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EN 61000-6-1:2007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708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Electromagnetic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Compatibility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with LV Public </w:t>
            </w:r>
            <w:proofErr w:type="spellStart"/>
            <w:r w:rsidRPr="003474BD">
              <w:rPr>
                <w:color w:val="000000"/>
                <w:lang w:eastAsia="en-GB"/>
              </w:rPr>
              <w:t>Networks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0B52C50E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3102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EN 61000-6-3:2007+A1:2011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20FA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Electromagnetic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Compatibility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with LV Public </w:t>
            </w:r>
            <w:proofErr w:type="spellStart"/>
            <w:r w:rsidRPr="003474BD">
              <w:rPr>
                <w:color w:val="000000"/>
                <w:lang w:eastAsia="en-GB"/>
              </w:rPr>
              <w:t>Networks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229CA0E5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E6057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PCS UL 1741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8A34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Auxiliary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2C4E7D1C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5326A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IEC62368-1 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FE10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Functional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 </w:t>
            </w:r>
          </w:p>
        </w:tc>
      </w:tr>
      <w:tr w:rsidR="00D76F2C" w:rsidRPr="003474BD" w14:paraId="10C998C0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27815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IEC62368-1 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A075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Functional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 </w:t>
            </w:r>
          </w:p>
        </w:tc>
      </w:tr>
      <w:tr w:rsidR="00D76F2C" w:rsidRPr="003474BD" w14:paraId="0D324905" w14:textId="77777777" w:rsidTr="00F01B81">
        <w:trPr>
          <w:trHeight w:val="300"/>
        </w:trPr>
        <w:tc>
          <w:tcPr>
            <w:tcW w:w="7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5B520" w14:textId="77777777" w:rsidR="00D76F2C" w:rsidRPr="003474BD" w:rsidRDefault="00D76F2C" w:rsidP="00F01B81">
            <w:pPr>
              <w:rPr>
                <w:b/>
                <w:bCs/>
                <w:color w:val="000000"/>
                <w:lang w:eastAsia="en-GB"/>
              </w:rPr>
            </w:pPr>
            <w:proofErr w:type="spellStart"/>
            <w:r w:rsidRPr="003474BD">
              <w:rPr>
                <w:b/>
                <w:bCs/>
              </w:rPr>
              <w:t>Lithium</w:t>
            </w:r>
            <w:proofErr w:type="spellEnd"/>
            <w:r w:rsidRPr="003474BD">
              <w:rPr>
                <w:b/>
                <w:bCs/>
              </w:rPr>
              <w:t xml:space="preserve"> </w:t>
            </w:r>
            <w:proofErr w:type="spellStart"/>
            <w:r w:rsidRPr="003474BD">
              <w:rPr>
                <w:b/>
                <w:bCs/>
              </w:rPr>
              <w:t>Ion</w:t>
            </w:r>
            <w:proofErr w:type="spellEnd"/>
            <w:r w:rsidRPr="003474BD">
              <w:rPr>
                <w:b/>
                <w:bCs/>
              </w:rPr>
              <w:t xml:space="preserve"> </w:t>
            </w:r>
            <w:proofErr w:type="spellStart"/>
            <w:r w:rsidRPr="003474BD">
              <w:rPr>
                <w:b/>
                <w:bCs/>
              </w:rPr>
              <w:t>technology</w:t>
            </w:r>
            <w:proofErr w:type="spellEnd"/>
          </w:p>
        </w:tc>
      </w:tr>
      <w:tr w:rsidR="00D76F2C" w:rsidRPr="003474BD" w14:paraId="7024143C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07BA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 62133:2012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4C46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Battery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Cell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05FD7CE9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36D6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 62619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7F17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Battery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Cell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4CC2CCAF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AB2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UN 38.3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771F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Transportation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of </w:t>
            </w: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Batteries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44BAE065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290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UN38.3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722D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Transportation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of </w:t>
            </w: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Batteries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05A87B18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576F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UN3536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27E0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Cargo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Ship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Transportation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of </w:t>
            </w: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Batteries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  <w:tr w:rsidR="00D76F2C" w:rsidRPr="003474BD" w14:paraId="613EB945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FC78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UL1973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5CA2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Battery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</w:t>
            </w:r>
            <w:proofErr w:type="spellStart"/>
            <w:r w:rsidRPr="003474BD">
              <w:rPr>
                <w:color w:val="000000"/>
                <w:lang w:eastAsia="en-GB"/>
              </w:rPr>
              <w:t>Testing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Standard </w:t>
            </w:r>
          </w:p>
        </w:tc>
      </w:tr>
      <w:tr w:rsidR="00D76F2C" w:rsidRPr="003474BD" w14:paraId="631E7F7C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872D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UL1642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8D89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Battery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Certification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</w:p>
        </w:tc>
      </w:tr>
      <w:tr w:rsidR="00D76F2C" w:rsidRPr="003474BD" w14:paraId="433AB73F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9329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IEC62619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0F0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Batteries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</w:t>
            </w:r>
            <w:proofErr w:type="spellStart"/>
            <w:r w:rsidRPr="003474BD">
              <w:rPr>
                <w:color w:val="000000"/>
                <w:lang w:eastAsia="en-GB"/>
              </w:rPr>
              <w:t>Tests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Certification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</w:p>
        </w:tc>
      </w:tr>
      <w:tr w:rsidR="00D76F2C" w:rsidRPr="003474BD" w14:paraId="4F232991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C07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IEC63056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0B4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Lithium-ion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Energy Storage Systems Safety Standard</w:t>
            </w:r>
          </w:p>
        </w:tc>
      </w:tr>
      <w:tr w:rsidR="00D76F2C" w:rsidRPr="003474BD" w14:paraId="479F8D97" w14:textId="77777777" w:rsidTr="00F01B81">
        <w:trPr>
          <w:trHeight w:val="300"/>
        </w:trPr>
        <w:tc>
          <w:tcPr>
            <w:tcW w:w="7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E7A1E" w14:textId="77777777" w:rsidR="00D76F2C" w:rsidRPr="003474BD" w:rsidRDefault="00D76F2C" w:rsidP="00F01B81">
            <w:pPr>
              <w:rPr>
                <w:b/>
                <w:bCs/>
                <w:color w:val="000000"/>
                <w:lang w:eastAsia="en-GB"/>
              </w:rPr>
            </w:pPr>
            <w:r w:rsidRPr="003474BD">
              <w:rPr>
                <w:b/>
                <w:bCs/>
              </w:rPr>
              <w:t xml:space="preserve">BESS </w:t>
            </w:r>
            <w:proofErr w:type="spellStart"/>
            <w:r w:rsidRPr="003474BD">
              <w:rPr>
                <w:b/>
                <w:bCs/>
              </w:rPr>
              <w:t>technology</w:t>
            </w:r>
            <w:proofErr w:type="spellEnd"/>
          </w:p>
        </w:tc>
      </w:tr>
      <w:tr w:rsidR="00D76F2C" w:rsidRPr="003474BD" w14:paraId="0C805A6B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B8A4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UL 1973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3CCC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ESS Safety Standard</w:t>
            </w:r>
          </w:p>
        </w:tc>
      </w:tr>
      <w:tr w:rsidR="00D76F2C" w:rsidRPr="003474BD" w14:paraId="1D13B283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7B89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UL 9540A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073D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 xml:space="preserve">Standard for </w:t>
            </w:r>
            <w:proofErr w:type="spellStart"/>
            <w:r w:rsidRPr="003474BD">
              <w:rPr>
                <w:color w:val="000000"/>
                <w:lang w:eastAsia="en-GB"/>
              </w:rPr>
              <w:t>Testing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ESS </w:t>
            </w:r>
            <w:proofErr w:type="spellStart"/>
            <w:r w:rsidRPr="003474BD">
              <w:rPr>
                <w:color w:val="000000"/>
                <w:lang w:eastAsia="en-GB"/>
              </w:rPr>
              <w:t>Runaway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Fire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Protection </w:t>
            </w:r>
            <w:proofErr w:type="spellStart"/>
            <w:r w:rsidRPr="003474BD">
              <w:rPr>
                <w:color w:val="000000"/>
                <w:lang w:eastAsia="en-GB"/>
              </w:rPr>
              <w:t>Testing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</w:p>
        </w:tc>
      </w:tr>
      <w:tr w:rsidR="00D76F2C" w:rsidRPr="003474BD" w14:paraId="2702E2D3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0F1A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 62909-1. BESS CONTROLLER IEC 62933:2018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252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Electrical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Energy Storage Standard </w:t>
            </w:r>
          </w:p>
        </w:tc>
      </w:tr>
      <w:tr w:rsidR="00D76F2C" w:rsidRPr="003474BD" w14:paraId="209FEB9D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8A66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 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4B69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 </w:t>
            </w:r>
          </w:p>
        </w:tc>
      </w:tr>
      <w:tr w:rsidR="00D76F2C" w:rsidRPr="003474BD" w14:paraId="05B24BA7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B23D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UL9540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9D95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 xml:space="preserve">Energy Storage </w:t>
            </w:r>
            <w:proofErr w:type="spellStart"/>
            <w:r w:rsidRPr="003474BD">
              <w:rPr>
                <w:color w:val="000000"/>
                <w:lang w:eastAsia="en-GB"/>
              </w:rPr>
              <w:t>System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</w:t>
            </w:r>
            <w:proofErr w:type="spellStart"/>
            <w:r w:rsidRPr="003474BD">
              <w:rPr>
                <w:color w:val="000000"/>
                <w:lang w:eastAsia="en-GB"/>
              </w:rPr>
              <w:t>Standards</w:t>
            </w:r>
            <w:proofErr w:type="spellEnd"/>
          </w:p>
        </w:tc>
      </w:tr>
      <w:tr w:rsidR="00D76F2C" w:rsidRPr="003474BD" w14:paraId="2A488669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CF613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UL1995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F76B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Enclosures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– </w:t>
            </w:r>
            <w:proofErr w:type="spellStart"/>
            <w:r w:rsidRPr="003474BD">
              <w:rPr>
                <w:color w:val="000000"/>
                <w:lang w:eastAsia="en-GB"/>
              </w:rPr>
              <w:t>Cooling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HVAC</w:t>
            </w:r>
          </w:p>
        </w:tc>
      </w:tr>
      <w:tr w:rsidR="00D76F2C" w:rsidRPr="003474BD" w14:paraId="66871AC6" w14:textId="77777777" w:rsidTr="00F01B81">
        <w:trPr>
          <w:trHeight w:val="300"/>
        </w:trPr>
        <w:tc>
          <w:tcPr>
            <w:tcW w:w="7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92903" w14:textId="77777777" w:rsidR="00D76F2C" w:rsidRPr="003474BD" w:rsidRDefault="00D76F2C" w:rsidP="00F01B81">
            <w:pPr>
              <w:rPr>
                <w:b/>
                <w:bCs/>
                <w:color w:val="000000"/>
                <w:lang w:eastAsia="en-GB"/>
              </w:rPr>
            </w:pPr>
            <w:r w:rsidRPr="003474BD">
              <w:rPr>
                <w:b/>
                <w:bCs/>
                <w:color w:val="000000"/>
                <w:lang w:eastAsia="en-GB"/>
              </w:rPr>
              <w:t xml:space="preserve">Technology with a </w:t>
            </w:r>
            <w:proofErr w:type="spellStart"/>
            <w:r w:rsidRPr="003474BD">
              <w:rPr>
                <w:b/>
                <w:bCs/>
                <w:color w:val="000000"/>
                <w:lang w:eastAsia="en-GB"/>
              </w:rPr>
              <w:t>converter</w:t>
            </w:r>
            <w:proofErr w:type="spellEnd"/>
          </w:p>
        </w:tc>
      </w:tr>
      <w:tr w:rsidR="00D76F2C" w:rsidRPr="003474BD" w14:paraId="49E05698" w14:textId="77777777" w:rsidTr="00F01B81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1118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r w:rsidRPr="003474BD">
              <w:rPr>
                <w:color w:val="000000"/>
                <w:lang w:eastAsia="en-GB"/>
              </w:rPr>
              <w:t>IEC 62477-1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A686" w14:textId="77777777" w:rsidR="00D76F2C" w:rsidRPr="003474BD" w:rsidRDefault="00D76F2C" w:rsidP="00F01B81">
            <w:pPr>
              <w:rPr>
                <w:color w:val="000000"/>
                <w:lang w:eastAsia="en-GB"/>
              </w:rPr>
            </w:pPr>
            <w:proofErr w:type="spellStart"/>
            <w:r w:rsidRPr="003474BD">
              <w:rPr>
                <w:color w:val="000000"/>
                <w:lang w:eastAsia="en-GB"/>
              </w:rPr>
              <w:t>Power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Electronic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Converter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</w:t>
            </w:r>
            <w:proofErr w:type="spellStart"/>
            <w:r w:rsidRPr="003474BD">
              <w:rPr>
                <w:color w:val="000000"/>
                <w:lang w:eastAsia="en-GB"/>
              </w:rPr>
              <w:t>System</w:t>
            </w:r>
            <w:proofErr w:type="spellEnd"/>
            <w:r w:rsidRPr="003474BD">
              <w:rPr>
                <w:color w:val="000000"/>
                <w:lang w:eastAsia="en-GB"/>
              </w:rPr>
              <w:t xml:space="preserve"> Safety Standard</w:t>
            </w:r>
          </w:p>
        </w:tc>
      </w:tr>
    </w:tbl>
    <w:p w14:paraId="3E66DF0F" w14:textId="77777777" w:rsidR="00D76F2C" w:rsidRPr="003474BD" w:rsidRDefault="00D76F2C" w:rsidP="00D76F2C">
      <w:pPr>
        <w:rPr>
          <w:b/>
          <w:bCs/>
          <w:u w:val="single"/>
        </w:rPr>
      </w:pPr>
    </w:p>
    <w:p w14:paraId="0B881420" w14:textId="77777777" w:rsidR="00D76F2C" w:rsidRPr="003474BD" w:rsidRDefault="00D76F2C" w:rsidP="00D76F2C">
      <w:pPr>
        <w:ind w:left="709" w:firstLine="11"/>
        <w:rPr>
          <w:u w:val="single"/>
        </w:rPr>
      </w:pPr>
      <w:r>
        <w:rPr>
          <w:u w:val="single"/>
        </w:rPr>
        <w:t>Допълнителен стандарт за изпълнителя на строителството</w:t>
      </w:r>
    </w:p>
    <w:p w14:paraId="7E78C2A6" w14:textId="77777777" w:rsidR="00D76F2C" w:rsidRPr="003474BD" w:rsidRDefault="00D76F2C" w:rsidP="00D76F2C">
      <w:pPr>
        <w:pStyle w:val="ListParagraph"/>
        <w:keepLines w:val="0"/>
        <w:numPr>
          <w:ilvl w:val="0"/>
          <w:numId w:val="19"/>
        </w:numPr>
        <w:spacing w:before="0" w:after="160" w:line="259" w:lineRule="auto"/>
        <w:ind w:left="1134"/>
        <w:jc w:val="left"/>
        <w:rPr>
          <w:rFonts w:ascii="Times New Roman" w:hAnsi="Times New Roman"/>
          <w:sz w:val="24"/>
          <w:szCs w:val="24"/>
        </w:rPr>
      </w:pPr>
      <w:r w:rsidRPr="003474BD">
        <w:rPr>
          <w:rFonts w:ascii="Times New Roman" w:hAnsi="Times New Roman"/>
          <w:sz w:val="24"/>
          <w:szCs w:val="24"/>
        </w:rPr>
        <w:t xml:space="preserve">IEEE1547 – </w:t>
      </w:r>
      <w:proofErr w:type="spellStart"/>
      <w:r w:rsidRPr="003474BD">
        <w:rPr>
          <w:rFonts w:ascii="Times New Roman" w:hAnsi="Times New Roman"/>
          <w:sz w:val="24"/>
          <w:szCs w:val="24"/>
        </w:rPr>
        <w:t>Grid</w:t>
      </w:r>
      <w:proofErr w:type="spellEnd"/>
      <w:r w:rsidRPr="003474BD">
        <w:rPr>
          <w:rFonts w:ascii="Times New Roman" w:hAnsi="Times New Roman"/>
          <w:sz w:val="24"/>
          <w:szCs w:val="24"/>
        </w:rPr>
        <w:t xml:space="preserve">/ DER </w:t>
      </w:r>
      <w:proofErr w:type="spellStart"/>
      <w:r w:rsidRPr="003474BD">
        <w:rPr>
          <w:rFonts w:ascii="Times New Roman" w:hAnsi="Times New Roman"/>
          <w:sz w:val="24"/>
          <w:szCs w:val="24"/>
        </w:rPr>
        <w:t>Interconnection</w:t>
      </w:r>
      <w:proofErr w:type="spellEnd"/>
    </w:p>
    <w:p w14:paraId="79D04EE4" w14:textId="77777777" w:rsidR="00D76F2C" w:rsidRPr="003474BD" w:rsidRDefault="00D76F2C" w:rsidP="00D76F2C">
      <w:pPr>
        <w:pStyle w:val="ListParagraph"/>
        <w:rPr>
          <w:rFonts w:ascii="Times New Roman" w:hAnsi="Times New Roman"/>
          <w:sz w:val="24"/>
          <w:szCs w:val="24"/>
        </w:rPr>
      </w:pPr>
    </w:p>
    <w:p w14:paraId="476F72F2" w14:textId="77777777" w:rsidR="00D76F2C" w:rsidRPr="003474BD" w:rsidRDefault="00D76F2C" w:rsidP="00D76F2C">
      <w:pPr>
        <w:ind w:left="709" w:firstLine="11"/>
        <w:rPr>
          <w:u w:val="single"/>
        </w:rPr>
      </w:pPr>
      <w:r>
        <w:rPr>
          <w:u w:val="single"/>
        </w:rPr>
        <w:t>Допълнителен стандарт за балансиране на съоръжението за съхранение</w:t>
      </w:r>
    </w:p>
    <w:tbl>
      <w:tblPr>
        <w:tblStyle w:val="XETable1"/>
        <w:tblW w:w="8966" w:type="dxa"/>
        <w:tblLook w:val="04A0" w:firstRow="1" w:lastRow="0" w:firstColumn="1" w:lastColumn="0" w:noHBand="0" w:noVBand="1"/>
      </w:tblPr>
      <w:tblGrid>
        <w:gridCol w:w="1395"/>
        <w:gridCol w:w="5420"/>
        <w:gridCol w:w="816"/>
        <w:gridCol w:w="1335"/>
      </w:tblGrid>
      <w:tr w:rsidR="00D76F2C" w:rsidRPr="003474BD" w14:paraId="794FFE5E" w14:textId="77777777" w:rsidTr="00F01B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00" w:type="dxa"/>
            <w:vAlign w:val="center"/>
          </w:tcPr>
          <w:p w14:paraId="199979F8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Doc</w:t>
            </w:r>
            <w:proofErr w:type="spellEnd"/>
            <w:r w:rsidRPr="003474BD">
              <w:rPr>
                <w:rFonts w:eastAsia="Cambria"/>
                <w:bCs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bCs/>
                <w:lang w:eastAsia="en-US"/>
              </w:rPr>
              <w:t>No</w:t>
            </w:r>
            <w:proofErr w:type="spellEnd"/>
            <w:r w:rsidRPr="003474BD">
              <w:rPr>
                <w:rFonts w:eastAsia="Cambria"/>
                <w:bCs/>
                <w:lang w:eastAsia="en-US"/>
              </w:rPr>
              <w:t>.</w:t>
            </w:r>
          </w:p>
        </w:tc>
        <w:tc>
          <w:tcPr>
            <w:tcW w:w="5611" w:type="dxa"/>
            <w:vAlign w:val="center"/>
          </w:tcPr>
          <w:p w14:paraId="2FE8E095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Title</w:t>
            </w:r>
            <w:proofErr w:type="spellEnd"/>
          </w:p>
        </w:tc>
        <w:tc>
          <w:tcPr>
            <w:tcW w:w="721" w:type="dxa"/>
            <w:vAlign w:val="center"/>
          </w:tcPr>
          <w:p w14:paraId="13FC8488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Rev</w:t>
            </w:r>
            <w:proofErr w:type="spellEnd"/>
            <w:r w:rsidRPr="003474BD">
              <w:rPr>
                <w:rFonts w:eastAsia="Cambria"/>
                <w:bCs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bCs/>
                <w:lang w:eastAsia="en-US"/>
              </w:rPr>
              <w:t>Year</w:t>
            </w:r>
            <w:proofErr w:type="spellEnd"/>
          </w:p>
        </w:tc>
        <w:tc>
          <w:tcPr>
            <w:tcW w:w="1234" w:type="dxa"/>
            <w:vAlign w:val="center"/>
          </w:tcPr>
          <w:p w14:paraId="5975050F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Reference</w:t>
            </w:r>
            <w:proofErr w:type="spellEnd"/>
          </w:p>
        </w:tc>
      </w:tr>
      <w:tr w:rsidR="00D76F2C" w:rsidRPr="003474BD" w14:paraId="3658DED8" w14:textId="77777777" w:rsidTr="00F01B81">
        <w:tc>
          <w:tcPr>
            <w:tcW w:w="1400" w:type="dxa"/>
            <w:vAlign w:val="center"/>
          </w:tcPr>
          <w:p w14:paraId="0CDE47E6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lastRenderedPageBreak/>
              <w:t>IEC 62271</w:t>
            </w:r>
          </w:p>
        </w:tc>
        <w:tc>
          <w:tcPr>
            <w:tcW w:w="5611" w:type="dxa"/>
            <w:vAlign w:val="center"/>
          </w:tcPr>
          <w:p w14:paraId="4678FDD3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High-voltage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switchgear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gear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all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parts</w:t>
            </w:r>
            <w:proofErr w:type="spellEnd"/>
          </w:p>
        </w:tc>
        <w:tc>
          <w:tcPr>
            <w:tcW w:w="721" w:type="dxa"/>
            <w:vAlign w:val="center"/>
          </w:tcPr>
          <w:p w14:paraId="2AAE552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7D04A5C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36399A6E" w14:textId="77777777" w:rsidTr="00F01B81">
        <w:tc>
          <w:tcPr>
            <w:tcW w:w="1400" w:type="dxa"/>
            <w:vAlign w:val="center"/>
          </w:tcPr>
          <w:p w14:paraId="0A69E19C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60227</w:t>
            </w:r>
          </w:p>
        </w:tc>
        <w:tc>
          <w:tcPr>
            <w:tcW w:w="5611" w:type="dxa"/>
            <w:vAlign w:val="center"/>
          </w:tcPr>
          <w:p w14:paraId="1B00C8AF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Polyvinyl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chloride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insulated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cables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</w:t>
            </w:r>
            <w:proofErr w:type="spellStart"/>
            <w:r w:rsidRPr="003474BD">
              <w:rPr>
                <w:rFonts w:eastAsia="Cambria"/>
                <w:lang w:eastAsia="en-US"/>
              </w:rPr>
              <w:t>rated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voltages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up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to and </w:t>
            </w:r>
            <w:proofErr w:type="spellStart"/>
            <w:r w:rsidRPr="003474BD">
              <w:rPr>
                <w:rFonts w:eastAsia="Cambria"/>
                <w:lang w:eastAsia="en-US"/>
              </w:rPr>
              <w:t>including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450/750 v</w:t>
            </w:r>
          </w:p>
        </w:tc>
        <w:tc>
          <w:tcPr>
            <w:tcW w:w="721" w:type="dxa"/>
            <w:vAlign w:val="center"/>
          </w:tcPr>
          <w:p w14:paraId="081F9F1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2007</w:t>
            </w:r>
          </w:p>
        </w:tc>
        <w:tc>
          <w:tcPr>
            <w:tcW w:w="1234" w:type="dxa"/>
            <w:vAlign w:val="center"/>
          </w:tcPr>
          <w:p w14:paraId="4027141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293AEE2B" w14:textId="77777777" w:rsidTr="00F01B81">
        <w:tc>
          <w:tcPr>
            <w:tcW w:w="1400" w:type="dxa"/>
            <w:vAlign w:val="center"/>
          </w:tcPr>
          <w:p w14:paraId="5AE64806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60502</w:t>
            </w:r>
          </w:p>
        </w:tc>
        <w:tc>
          <w:tcPr>
            <w:tcW w:w="5611" w:type="dxa"/>
            <w:vAlign w:val="center"/>
          </w:tcPr>
          <w:p w14:paraId="4F65F4C2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Power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cables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with </w:t>
            </w:r>
            <w:proofErr w:type="spellStart"/>
            <w:r w:rsidRPr="003474BD">
              <w:rPr>
                <w:rFonts w:eastAsia="Cambria"/>
                <w:lang w:eastAsia="en-US"/>
              </w:rPr>
              <w:t>extruded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insulation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their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accessories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rated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voltages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above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30 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</w:t>
            </w:r>
            <w:proofErr w:type="spellStart"/>
            <w:r w:rsidRPr="003474BD">
              <w:rPr>
                <w:rFonts w:eastAsia="Cambria"/>
                <w:lang w:eastAsia="en-US"/>
              </w:rPr>
              <w:t>um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= 36 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) </w:t>
            </w:r>
            <w:proofErr w:type="spellStart"/>
            <w:r w:rsidRPr="003474BD">
              <w:rPr>
                <w:rFonts w:eastAsia="Cambria"/>
                <w:lang w:eastAsia="en-US"/>
              </w:rPr>
              <w:t>up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to 150 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</w:t>
            </w:r>
            <w:proofErr w:type="spellStart"/>
            <w:r w:rsidRPr="003474BD">
              <w:rPr>
                <w:rFonts w:eastAsia="Cambria"/>
                <w:lang w:eastAsia="en-US"/>
              </w:rPr>
              <w:t>um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= 170 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) – </w:t>
            </w:r>
            <w:proofErr w:type="spellStart"/>
            <w:r w:rsidRPr="003474BD">
              <w:rPr>
                <w:rFonts w:eastAsia="Cambria"/>
                <w:lang w:eastAsia="en-US"/>
              </w:rPr>
              <w:t>test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methods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requirements</w:t>
            </w:r>
            <w:proofErr w:type="spellEnd"/>
          </w:p>
        </w:tc>
        <w:tc>
          <w:tcPr>
            <w:tcW w:w="721" w:type="dxa"/>
            <w:vAlign w:val="center"/>
          </w:tcPr>
          <w:p w14:paraId="156B838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2020</w:t>
            </w:r>
          </w:p>
        </w:tc>
        <w:tc>
          <w:tcPr>
            <w:tcW w:w="1234" w:type="dxa"/>
            <w:vAlign w:val="center"/>
          </w:tcPr>
          <w:p w14:paraId="58A0BB36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4B538159" w14:textId="77777777" w:rsidTr="00F01B81">
        <w:tc>
          <w:tcPr>
            <w:tcW w:w="1400" w:type="dxa"/>
            <w:vAlign w:val="center"/>
          </w:tcPr>
          <w:p w14:paraId="54CFC282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62067</w:t>
            </w:r>
          </w:p>
        </w:tc>
        <w:tc>
          <w:tcPr>
            <w:tcW w:w="5611" w:type="dxa"/>
            <w:vAlign w:val="center"/>
          </w:tcPr>
          <w:p w14:paraId="4165DBBB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Power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cables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with </w:t>
            </w:r>
            <w:proofErr w:type="spellStart"/>
            <w:r w:rsidRPr="003474BD">
              <w:rPr>
                <w:rFonts w:eastAsia="Cambria"/>
                <w:lang w:eastAsia="en-US"/>
              </w:rPr>
              <w:t>extruded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insulation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their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accessories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rated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voltages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above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150 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</w:t>
            </w:r>
            <w:proofErr w:type="spellStart"/>
            <w:r w:rsidRPr="003474BD">
              <w:rPr>
                <w:rFonts w:eastAsia="Cambria"/>
                <w:lang w:eastAsia="en-US"/>
              </w:rPr>
              <w:t>um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= 170 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) </w:t>
            </w:r>
            <w:proofErr w:type="spellStart"/>
            <w:r w:rsidRPr="003474BD">
              <w:rPr>
                <w:rFonts w:eastAsia="Cambria"/>
                <w:lang w:eastAsia="en-US"/>
              </w:rPr>
              <w:t>up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to 500 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</w:t>
            </w:r>
            <w:proofErr w:type="spellStart"/>
            <w:r w:rsidRPr="003474BD">
              <w:rPr>
                <w:rFonts w:eastAsia="Cambria"/>
                <w:lang w:eastAsia="en-US"/>
              </w:rPr>
              <w:t>um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= 550 </w:t>
            </w:r>
            <w:proofErr w:type="spellStart"/>
            <w:r w:rsidRPr="003474BD">
              <w:rPr>
                <w:rFonts w:eastAsia="Cambria"/>
                <w:lang w:eastAsia="en-US"/>
              </w:rPr>
              <w:t>kV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) – </w:t>
            </w:r>
            <w:proofErr w:type="spellStart"/>
            <w:r w:rsidRPr="003474BD">
              <w:rPr>
                <w:rFonts w:eastAsia="Cambria"/>
                <w:lang w:eastAsia="en-US"/>
              </w:rPr>
              <w:t>test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methods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requirements</w:t>
            </w:r>
            <w:proofErr w:type="spellEnd"/>
          </w:p>
        </w:tc>
        <w:tc>
          <w:tcPr>
            <w:tcW w:w="721" w:type="dxa"/>
            <w:vAlign w:val="center"/>
          </w:tcPr>
          <w:p w14:paraId="7BAB5AFD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2022</w:t>
            </w:r>
          </w:p>
        </w:tc>
        <w:tc>
          <w:tcPr>
            <w:tcW w:w="1234" w:type="dxa"/>
            <w:vAlign w:val="center"/>
          </w:tcPr>
          <w:p w14:paraId="77CE95BE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2E726722" w14:textId="77777777" w:rsidTr="00F01B81">
        <w:tc>
          <w:tcPr>
            <w:tcW w:w="1400" w:type="dxa"/>
            <w:vAlign w:val="center"/>
          </w:tcPr>
          <w:p w14:paraId="5D961FC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61024-1</w:t>
            </w:r>
          </w:p>
        </w:tc>
        <w:tc>
          <w:tcPr>
            <w:tcW w:w="5611" w:type="dxa"/>
            <w:vAlign w:val="center"/>
          </w:tcPr>
          <w:p w14:paraId="634D029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Protection of </w:t>
            </w:r>
            <w:proofErr w:type="spellStart"/>
            <w:r w:rsidRPr="003474BD">
              <w:rPr>
                <w:rFonts w:eastAsia="Cambria"/>
                <w:lang w:eastAsia="en-US"/>
              </w:rPr>
              <w:t>structures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against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lightning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part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1: </w:t>
            </w:r>
            <w:proofErr w:type="spellStart"/>
            <w:r w:rsidRPr="003474BD">
              <w:rPr>
                <w:rFonts w:eastAsia="Cambria"/>
                <w:lang w:eastAsia="en-US"/>
              </w:rPr>
              <w:t>general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principles</w:t>
            </w:r>
            <w:proofErr w:type="spellEnd"/>
          </w:p>
        </w:tc>
        <w:tc>
          <w:tcPr>
            <w:tcW w:w="721" w:type="dxa"/>
            <w:vAlign w:val="center"/>
          </w:tcPr>
          <w:p w14:paraId="1C68F54F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1993</w:t>
            </w:r>
          </w:p>
        </w:tc>
        <w:tc>
          <w:tcPr>
            <w:tcW w:w="1234" w:type="dxa"/>
            <w:vAlign w:val="center"/>
          </w:tcPr>
          <w:p w14:paraId="01978FC0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2B2AF06" w14:textId="77777777" w:rsidTr="00F01B81">
        <w:tc>
          <w:tcPr>
            <w:tcW w:w="1400" w:type="dxa"/>
            <w:vAlign w:val="center"/>
          </w:tcPr>
          <w:p w14:paraId="75EB4789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60335</w:t>
            </w:r>
            <w:r w:rsidRPr="003474BD">
              <w:rPr>
                <w:rFonts w:eastAsia="Cambria"/>
                <w:lang w:eastAsia="en-US"/>
              </w:rPr>
              <w:noBreakHyphen/>
              <w:t>2</w:t>
            </w:r>
            <w:r w:rsidRPr="003474BD">
              <w:rPr>
                <w:rFonts w:eastAsia="Cambria"/>
                <w:lang w:eastAsia="en-US"/>
              </w:rPr>
              <w:noBreakHyphen/>
              <w:t>40</w:t>
            </w:r>
          </w:p>
        </w:tc>
        <w:tc>
          <w:tcPr>
            <w:tcW w:w="5611" w:type="dxa"/>
            <w:vAlign w:val="center"/>
          </w:tcPr>
          <w:p w14:paraId="5E244359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Safety of </w:t>
            </w:r>
            <w:proofErr w:type="spellStart"/>
            <w:r w:rsidRPr="003474BD">
              <w:rPr>
                <w:rFonts w:eastAsia="Cambria"/>
                <w:lang w:eastAsia="en-US"/>
              </w:rPr>
              <w:t>household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similar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appliances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part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2-40: </w:t>
            </w:r>
            <w:proofErr w:type="spellStart"/>
            <w:r w:rsidRPr="003474BD">
              <w:rPr>
                <w:rFonts w:eastAsia="Cambria"/>
                <w:lang w:eastAsia="en-US"/>
              </w:rPr>
              <w:t>particular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requirements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heat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pumps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, </w:t>
            </w:r>
            <w:proofErr w:type="spellStart"/>
            <w:r w:rsidRPr="003474BD">
              <w:rPr>
                <w:rFonts w:eastAsia="Cambria"/>
                <w:lang w:eastAsia="en-US"/>
              </w:rPr>
              <w:t>air-conditioners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, and </w:t>
            </w:r>
            <w:proofErr w:type="spellStart"/>
            <w:r w:rsidRPr="003474BD">
              <w:rPr>
                <w:rFonts w:eastAsia="Cambria"/>
                <w:lang w:eastAsia="en-US"/>
              </w:rPr>
              <w:t>dehumidifiers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</w:p>
        </w:tc>
        <w:tc>
          <w:tcPr>
            <w:tcW w:w="721" w:type="dxa"/>
            <w:vAlign w:val="center"/>
          </w:tcPr>
          <w:p w14:paraId="30389735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2002</w:t>
            </w:r>
          </w:p>
        </w:tc>
        <w:tc>
          <w:tcPr>
            <w:tcW w:w="1234" w:type="dxa"/>
            <w:vAlign w:val="center"/>
          </w:tcPr>
          <w:p w14:paraId="060D98FC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21646590" w14:textId="77777777" w:rsidTr="00F01B81">
        <w:tc>
          <w:tcPr>
            <w:tcW w:w="1400" w:type="dxa"/>
            <w:vAlign w:val="center"/>
          </w:tcPr>
          <w:p w14:paraId="2BF14ADA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60870</w:t>
            </w:r>
          </w:p>
        </w:tc>
        <w:tc>
          <w:tcPr>
            <w:tcW w:w="5611" w:type="dxa"/>
            <w:vAlign w:val="center"/>
          </w:tcPr>
          <w:p w14:paraId="62D1669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Telecontrol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equipment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</w:p>
        </w:tc>
        <w:tc>
          <w:tcPr>
            <w:tcW w:w="721" w:type="dxa"/>
            <w:vAlign w:val="center"/>
          </w:tcPr>
          <w:p w14:paraId="165956B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7C609C9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26E1750A" w14:textId="77777777" w:rsidTr="00F01B81">
        <w:tc>
          <w:tcPr>
            <w:tcW w:w="1400" w:type="dxa"/>
            <w:vAlign w:val="center"/>
          </w:tcPr>
          <w:p w14:paraId="2398FFFC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61131-3</w:t>
            </w:r>
          </w:p>
        </w:tc>
        <w:tc>
          <w:tcPr>
            <w:tcW w:w="5611" w:type="dxa"/>
            <w:vAlign w:val="center"/>
          </w:tcPr>
          <w:p w14:paraId="3FA122A4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Programmable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controllers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part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3: </w:t>
            </w:r>
            <w:proofErr w:type="spellStart"/>
            <w:r w:rsidRPr="003474BD">
              <w:rPr>
                <w:rFonts w:eastAsia="Cambria"/>
                <w:lang w:eastAsia="en-US"/>
              </w:rPr>
              <w:t>programming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language</w:t>
            </w:r>
            <w:proofErr w:type="spellEnd"/>
          </w:p>
        </w:tc>
        <w:tc>
          <w:tcPr>
            <w:tcW w:w="721" w:type="dxa"/>
            <w:vAlign w:val="center"/>
          </w:tcPr>
          <w:p w14:paraId="23BABAFB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2013</w:t>
            </w:r>
          </w:p>
        </w:tc>
        <w:tc>
          <w:tcPr>
            <w:tcW w:w="1234" w:type="dxa"/>
            <w:vAlign w:val="center"/>
          </w:tcPr>
          <w:p w14:paraId="4DA3FB03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18226CF3" w14:textId="77777777" w:rsidTr="00F01B81">
        <w:tc>
          <w:tcPr>
            <w:tcW w:w="1400" w:type="dxa"/>
            <w:vAlign w:val="center"/>
          </w:tcPr>
          <w:p w14:paraId="3253B708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61850</w:t>
            </w:r>
          </w:p>
        </w:tc>
        <w:tc>
          <w:tcPr>
            <w:tcW w:w="5611" w:type="dxa"/>
            <w:vAlign w:val="center"/>
          </w:tcPr>
          <w:p w14:paraId="50A182CD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Communication </w:t>
            </w:r>
            <w:proofErr w:type="spellStart"/>
            <w:r w:rsidRPr="003474BD">
              <w:rPr>
                <w:rFonts w:eastAsia="Cambria"/>
                <w:lang w:eastAsia="en-US"/>
              </w:rPr>
              <w:t>protocols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intelligent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devices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substations</w:t>
            </w:r>
            <w:proofErr w:type="spellEnd"/>
          </w:p>
        </w:tc>
        <w:tc>
          <w:tcPr>
            <w:tcW w:w="721" w:type="dxa"/>
            <w:vAlign w:val="center"/>
          </w:tcPr>
          <w:p w14:paraId="5F23C49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7A39D80D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626C8F68" w14:textId="77777777" w:rsidTr="00F01B81">
        <w:tc>
          <w:tcPr>
            <w:tcW w:w="1400" w:type="dxa"/>
            <w:vAlign w:val="center"/>
          </w:tcPr>
          <w:p w14:paraId="7BBA746D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61508</w:t>
            </w:r>
          </w:p>
        </w:tc>
        <w:tc>
          <w:tcPr>
            <w:tcW w:w="5611" w:type="dxa"/>
            <w:vAlign w:val="center"/>
          </w:tcPr>
          <w:p w14:paraId="3B1164BF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Functional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safety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>/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>/</w:t>
            </w:r>
            <w:proofErr w:type="spellStart"/>
            <w:r w:rsidRPr="003474BD">
              <w:rPr>
                <w:rFonts w:eastAsia="Cambria"/>
                <w:lang w:eastAsia="en-US"/>
              </w:rPr>
              <w:t>programmable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safety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related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</w:p>
        </w:tc>
        <w:tc>
          <w:tcPr>
            <w:tcW w:w="721" w:type="dxa"/>
            <w:vAlign w:val="center"/>
          </w:tcPr>
          <w:p w14:paraId="2552C3A3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2010</w:t>
            </w:r>
          </w:p>
        </w:tc>
        <w:tc>
          <w:tcPr>
            <w:tcW w:w="1234" w:type="dxa"/>
            <w:vAlign w:val="center"/>
          </w:tcPr>
          <w:p w14:paraId="73280C4B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CDA4A60" w14:textId="77777777" w:rsidTr="00F01B81">
        <w:tc>
          <w:tcPr>
            <w:tcW w:w="1400" w:type="dxa"/>
            <w:vAlign w:val="center"/>
          </w:tcPr>
          <w:p w14:paraId="79C673DA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62443</w:t>
            </w:r>
          </w:p>
        </w:tc>
        <w:tc>
          <w:tcPr>
            <w:tcW w:w="5611" w:type="dxa"/>
            <w:vAlign w:val="center"/>
          </w:tcPr>
          <w:p w14:paraId="4D5761B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Security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standards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the </w:t>
            </w:r>
            <w:proofErr w:type="spellStart"/>
            <w:r w:rsidRPr="003474BD">
              <w:rPr>
                <w:rFonts w:eastAsia="Cambria"/>
                <w:lang w:eastAsia="en-US"/>
              </w:rPr>
              <w:t>secure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development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</w:t>
            </w:r>
            <w:proofErr w:type="spellStart"/>
            <w:r w:rsidRPr="003474BD">
              <w:rPr>
                <w:rFonts w:eastAsia="Cambria"/>
                <w:lang w:eastAsia="en-US"/>
              </w:rPr>
              <w:t>industrial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automation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(IACS)</w:t>
            </w:r>
          </w:p>
        </w:tc>
        <w:tc>
          <w:tcPr>
            <w:tcW w:w="721" w:type="dxa"/>
            <w:vAlign w:val="center"/>
          </w:tcPr>
          <w:p w14:paraId="2C4B819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2018</w:t>
            </w:r>
          </w:p>
        </w:tc>
        <w:tc>
          <w:tcPr>
            <w:tcW w:w="1234" w:type="dxa"/>
            <w:vAlign w:val="center"/>
          </w:tcPr>
          <w:p w14:paraId="67B66F57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411999A8" w14:textId="77777777" w:rsidTr="00F01B81">
        <w:tc>
          <w:tcPr>
            <w:tcW w:w="1400" w:type="dxa"/>
            <w:vAlign w:val="center"/>
          </w:tcPr>
          <w:p w14:paraId="3D6422B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61511</w:t>
            </w:r>
          </w:p>
        </w:tc>
        <w:tc>
          <w:tcPr>
            <w:tcW w:w="5611" w:type="dxa"/>
            <w:vAlign w:val="center"/>
          </w:tcPr>
          <w:p w14:paraId="45937D4C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Functional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safety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safety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instrumented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the </w:t>
            </w:r>
            <w:proofErr w:type="spellStart"/>
            <w:r w:rsidRPr="003474BD">
              <w:rPr>
                <w:rFonts w:eastAsia="Cambria"/>
                <w:lang w:eastAsia="en-US"/>
              </w:rPr>
              <w:t>process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industry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sector</w:t>
            </w:r>
            <w:proofErr w:type="spellEnd"/>
          </w:p>
        </w:tc>
        <w:tc>
          <w:tcPr>
            <w:tcW w:w="721" w:type="dxa"/>
            <w:vAlign w:val="center"/>
          </w:tcPr>
          <w:p w14:paraId="463AB1C3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54C267EC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20DC513B" w14:textId="77777777" w:rsidTr="00F01B81">
        <w:tc>
          <w:tcPr>
            <w:tcW w:w="1400" w:type="dxa"/>
            <w:vAlign w:val="center"/>
          </w:tcPr>
          <w:p w14:paraId="0E28A278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60076</w:t>
            </w:r>
          </w:p>
        </w:tc>
        <w:tc>
          <w:tcPr>
            <w:tcW w:w="5611" w:type="dxa"/>
            <w:vAlign w:val="center"/>
          </w:tcPr>
          <w:p w14:paraId="47ED804D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Power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transformers</w:t>
            </w:r>
            <w:proofErr w:type="spellEnd"/>
          </w:p>
        </w:tc>
        <w:tc>
          <w:tcPr>
            <w:tcW w:w="721" w:type="dxa"/>
            <w:vAlign w:val="center"/>
          </w:tcPr>
          <w:p w14:paraId="7D5FF857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2020</w:t>
            </w:r>
          </w:p>
        </w:tc>
        <w:tc>
          <w:tcPr>
            <w:tcW w:w="1234" w:type="dxa"/>
            <w:vAlign w:val="center"/>
          </w:tcPr>
          <w:p w14:paraId="65C710CC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48E22279" w14:textId="77777777" w:rsidTr="00F01B81">
        <w:tc>
          <w:tcPr>
            <w:tcW w:w="1400" w:type="dxa"/>
            <w:vAlign w:val="center"/>
          </w:tcPr>
          <w:p w14:paraId="3F250639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60331</w:t>
            </w:r>
          </w:p>
        </w:tc>
        <w:tc>
          <w:tcPr>
            <w:tcW w:w="5611" w:type="dxa"/>
            <w:vAlign w:val="center"/>
          </w:tcPr>
          <w:p w14:paraId="0A6C7E9E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Tests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on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optical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fibre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cables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under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fire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conditions</w:t>
            </w:r>
          </w:p>
        </w:tc>
        <w:tc>
          <w:tcPr>
            <w:tcW w:w="721" w:type="dxa"/>
            <w:vAlign w:val="center"/>
          </w:tcPr>
          <w:p w14:paraId="7F4238EE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2A8EF1E2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76848B27" w14:textId="77777777" w:rsidTr="00F01B81">
        <w:tc>
          <w:tcPr>
            <w:tcW w:w="1400" w:type="dxa"/>
            <w:vAlign w:val="center"/>
          </w:tcPr>
          <w:p w14:paraId="26515EB7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60364</w:t>
            </w:r>
          </w:p>
        </w:tc>
        <w:tc>
          <w:tcPr>
            <w:tcW w:w="5611" w:type="dxa"/>
            <w:vAlign w:val="center"/>
          </w:tcPr>
          <w:p w14:paraId="1AAB556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installations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buildings</w:t>
            </w:r>
            <w:proofErr w:type="spellEnd"/>
          </w:p>
        </w:tc>
        <w:tc>
          <w:tcPr>
            <w:tcW w:w="721" w:type="dxa"/>
            <w:vAlign w:val="center"/>
          </w:tcPr>
          <w:p w14:paraId="39F7BF09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2005</w:t>
            </w:r>
          </w:p>
        </w:tc>
        <w:tc>
          <w:tcPr>
            <w:tcW w:w="1234" w:type="dxa"/>
            <w:vAlign w:val="center"/>
          </w:tcPr>
          <w:p w14:paraId="706890B6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F4464E0" w14:textId="77777777" w:rsidTr="00F01B81">
        <w:tc>
          <w:tcPr>
            <w:tcW w:w="1400" w:type="dxa"/>
            <w:vAlign w:val="center"/>
          </w:tcPr>
          <w:p w14:paraId="55DB4CE1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60529</w:t>
            </w:r>
          </w:p>
        </w:tc>
        <w:tc>
          <w:tcPr>
            <w:tcW w:w="5611" w:type="dxa"/>
            <w:vAlign w:val="center"/>
          </w:tcPr>
          <w:p w14:paraId="59213B5D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Degrees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protection </w:t>
            </w:r>
            <w:proofErr w:type="spellStart"/>
            <w:r w:rsidRPr="003474BD">
              <w:rPr>
                <w:rFonts w:eastAsia="Cambria"/>
                <w:lang w:eastAsia="en-US"/>
              </w:rPr>
              <w:t>offered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by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enclosures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</w:p>
        </w:tc>
        <w:tc>
          <w:tcPr>
            <w:tcW w:w="721" w:type="dxa"/>
            <w:vAlign w:val="center"/>
          </w:tcPr>
          <w:p w14:paraId="6AEF40A4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2019</w:t>
            </w:r>
          </w:p>
        </w:tc>
        <w:tc>
          <w:tcPr>
            <w:tcW w:w="1234" w:type="dxa"/>
            <w:vAlign w:val="center"/>
          </w:tcPr>
          <w:p w14:paraId="778FB5F5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109D9395" w14:textId="77777777" w:rsidTr="00F01B81">
        <w:tc>
          <w:tcPr>
            <w:tcW w:w="1400" w:type="dxa"/>
            <w:vAlign w:val="center"/>
          </w:tcPr>
          <w:p w14:paraId="5DDEBC5E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lastRenderedPageBreak/>
              <w:t>IEC 60598</w:t>
            </w:r>
          </w:p>
        </w:tc>
        <w:tc>
          <w:tcPr>
            <w:tcW w:w="5611" w:type="dxa"/>
            <w:vAlign w:val="center"/>
          </w:tcPr>
          <w:p w14:paraId="44ED3791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Luminaries</w:t>
            </w:r>
            <w:proofErr w:type="spellEnd"/>
          </w:p>
        </w:tc>
        <w:tc>
          <w:tcPr>
            <w:tcW w:w="721" w:type="dxa"/>
            <w:vAlign w:val="center"/>
          </w:tcPr>
          <w:p w14:paraId="5B799236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2020</w:t>
            </w:r>
          </w:p>
        </w:tc>
        <w:tc>
          <w:tcPr>
            <w:tcW w:w="1234" w:type="dxa"/>
            <w:vAlign w:val="center"/>
          </w:tcPr>
          <w:p w14:paraId="61EB07F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2670077" w14:textId="77777777" w:rsidTr="00F01B81">
        <w:tc>
          <w:tcPr>
            <w:tcW w:w="1400" w:type="dxa"/>
            <w:vAlign w:val="center"/>
          </w:tcPr>
          <w:p w14:paraId="0833707B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61439</w:t>
            </w:r>
          </w:p>
        </w:tc>
        <w:tc>
          <w:tcPr>
            <w:tcW w:w="5611" w:type="dxa"/>
            <w:vAlign w:val="center"/>
          </w:tcPr>
          <w:p w14:paraId="386EDEC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LV </w:t>
            </w:r>
            <w:proofErr w:type="spellStart"/>
            <w:r w:rsidRPr="003474BD">
              <w:rPr>
                <w:rFonts w:eastAsia="Cambria"/>
                <w:lang w:eastAsia="en-US"/>
              </w:rPr>
              <w:t>switchgear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gear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assemblies</w:t>
            </w:r>
            <w:proofErr w:type="spellEnd"/>
          </w:p>
        </w:tc>
        <w:tc>
          <w:tcPr>
            <w:tcW w:w="721" w:type="dxa"/>
            <w:vAlign w:val="center"/>
          </w:tcPr>
          <w:p w14:paraId="10642AD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2022</w:t>
            </w:r>
          </w:p>
        </w:tc>
        <w:tc>
          <w:tcPr>
            <w:tcW w:w="1234" w:type="dxa"/>
            <w:vAlign w:val="center"/>
          </w:tcPr>
          <w:p w14:paraId="6DCC51B2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7147563E" w14:textId="77777777" w:rsidTr="00F01B81">
        <w:tc>
          <w:tcPr>
            <w:tcW w:w="1400" w:type="dxa"/>
            <w:vAlign w:val="center"/>
          </w:tcPr>
          <w:p w14:paraId="5489B729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62040</w:t>
            </w:r>
          </w:p>
        </w:tc>
        <w:tc>
          <w:tcPr>
            <w:tcW w:w="5611" w:type="dxa"/>
            <w:vAlign w:val="center"/>
          </w:tcPr>
          <w:p w14:paraId="4244893E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Uninterruptable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power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</w:p>
        </w:tc>
        <w:tc>
          <w:tcPr>
            <w:tcW w:w="721" w:type="dxa"/>
            <w:vAlign w:val="center"/>
          </w:tcPr>
          <w:p w14:paraId="5A51F832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2017</w:t>
            </w:r>
          </w:p>
        </w:tc>
        <w:tc>
          <w:tcPr>
            <w:tcW w:w="1234" w:type="dxa"/>
            <w:vAlign w:val="center"/>
          </w:tcPr>
          <w:p w14:paraId="15AB8CDA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31E46437" w14:textId="77777777" w:rsidTr="00F01B81">
        <w:tc>
          <w:tcPr>
            <w:tcW w:w="1400" w:type="dxa"/>
            <w:vAlign w:val="center"/>
          </w:tcPr>
          <w:p w14:paraId="58C47A9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62305</w:t>
            </w:r>
          </w:p>
        </w:tc>
        <w:tc>
          <w:tcPr>
            <w:tcW w:w="5611" w:type="dxa"/>
            <w:vAlign w:val="center"/>
          </w:tcPr>
          <w:p w14:paraId="049ED1D7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Protection </w:t>
            </w:r>
            <w:proofErr w:type="spellStart"/>
            <w:r w:rsidRPr="003474BD">
              <w:rPr>
                <w:rFonts w:eastAsia="Cambria"/>
                <w:lang w:eastAsia="en-US"/>
              </w:rPr>
              <w:t>against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lightning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</w:p>
        </w:tc>
        <w:tc>
          <w:tcPr>
            <w:tcW w:w="721" w:type="dxa"/>
            <w:vAlign w:val="center"/>
          </w:tcPr>
          <w:p w14:paraId="5BE4CB5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2021</w:t>
            </w:r>
          </w:p>
        </w:tc>
        <w:tc>
          <w:tcPr>
            <w:tcW w:w="1234" w:type="dxa"/>
            <w:vAlign w:val="center"/>
          </w:tcPr>
          <w:p w14:paraId="7358D4B0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44383D2F" w14:textId="77777777" w:rsidTr="00F01B81">
        <w:tc>
          <w:tcPr>
            <w:tcW w:w="1400" w:type="dxa"/>
            <w:vAlign w:val="center"/>
          </w:tcPr>
          <w:p w14:paraId="21E56A9F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62485</w:t>
            </w:r>
          </w:p>
        </w:tc>
        <w:tc>
          <w:tcPr>
            <w:tcW w:w="5611" w:type="dxa"/>
            <w:vAlign w:val="center"/>
          </w:tcPr>
          <w:p w14:paraId="79382B07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Safety </w:t>
            </w:r>
            <w:proofErr w:type="spellStart"/>
            <w:r w:rsidRPr="003474BD">
              <w:rPr>
                <w:rFonts w:eastAsia="Cambria"/>
                <w:lang w:eastAsia="en-US"/>
              </w:rPr>
              <w:t>requirements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secondary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batteries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battery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installations</w:t>
            </w:r>
            <w:proofErr w:type="spellEnd"/>
          </w:p>
        </w:tc>
        <w:tc>
          <w:tcPr>
            <w:tcW w:w="721" w:type="dxa"/>
            <w:vAlign w:val="center"/>
          </w:tcPr>
          <w:p w14:paraId="7AD7A08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2020</w:t>
            </w:r>
          </w:p>
        </w:tc>
        <w:tc>
          <w:tcPr>
            <w:tcW w:w="1234" w:type="dxa"/>
            <w:vAlign w:val="center"/>
          </w:tcPr>
          <w:p w14:paraId="3D35638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3A72A569" w14:textId="77777777" w:rsidTr="00F01B81">
        <w:tc>
          <w:tcPr>
            <w:tcW w:w="1400" w:type="dxa"/>
            <w:vAlign w:val="center"/>
          </w:tcPr>
          <w:p w14:paraId="3C9019AD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60079</w:t>
            </w:r>
          </w:p>
        </w:tc>
        <w:tc>
          <w:tcPr>
            <w:tcW w:w="5611" w:type="dxa"/>
            <w:vAlign w:val="center"/>
          </w:tcPr>
          <w:p w14:paraId="7F35E75F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Explosives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atmospheres</w:t>
            </w:r>
            <w:proofErr w:type="spellEnd"/>
          </w:p>
        </w:tc>
        <w:tc>
          <w:tcPr>
            <w:tcW w:w="721" w:type="dxa"/>
            <w:vAlign w:val="center"/>
          </w:tcPr>
          <w:p w14:paraId="51FA2C6F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2022</w:t>
            </w:r>
          </w:p>
        </w:tc>
        <w:tc>
          <w:tcPr>
            <w:tcW w:w="1234" w:type="dxa"/>
            <w:vAlign w:val="center"/>
          </w:tcPr>
          <w:p w14:paraId="05878129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F3BF6E1" w14:textId="77777777" w:rsidTr="00F01B81">
        <w:tc>
          <w:tcPr>
            <w:tcW w:w="1400" w:type="dxa"/>
            <w:vAlign w:val="center"/>
          </w:tcPr>
          <w:p w14:paraId="5B408ABB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60228</w:t>
            </w:r>
          </w:p>
        </w:tc>
        <w:tc>
          <w:tcPr>
            <w:tcW w:w="5611" w:type="dxa"/>
            <w:vAlign w:val="center"/>
          </w:tcPr>
          <w:p w14:paraId="5616FCC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Conductors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</w:t>
            </w:r>
            <w:proofErr w:type="spellStart"/>
            <w:r w:rsidRPr="003474BD">
              <w:rPr>
                <w:rFonts w:eastAsia="Cambria"/>
                <w:lang w:eastAsia="en-US"/>
              </w:rPr>
              <w:t>insulated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cables</w:t>
            </w:r>
            <w:proofErr w:type="spellEnd"/>
          </w:p>
        </w:tc>
        <w:tc>
          <w:tcPr>
            <w:tcW w:w="721" w:type="dxa"/>
            <w:vAlign w:val="center"/>
          </w:tcPr>
          <w:p w14:paraId="4AEB4344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2022</w:t>
            </w:r>
          </w:p>
        </w:tc>
        <w:tc>
          <w:tcPr>
            <w:tcW w:w="1234" w:type="dxa"/>
            <w:vAlign w:val="center"/>
          </w:tcPr>
          <w:p w14:paraId="3E8068A9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338D8D3C" w14:textId="77777777" w:rsidTr="00F01B81">
        <w:tc>
          <w:tcPr>
            <w:tcW w:w="1400" w:type="dxa"/>
            <w:vAlign w:val="center"/>
          </w:tcPr>
          <w:p w14:paraId="1A7B0DA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60287</w:t>
            </w:r>
          </w:p>
        </w:tc>
        <w:tc>
          <w:tcPr>
            <w:tcW w:w="5611" w:type="dxa"/>
            <w:vAlign w:val="center"/>
          </w:tcPr>
          <w:p w14:paraId="7DC67E93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cables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calculation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the </w:t>
            </w:r>
            <w:proofErr w:type="spellStart"/>
            <w:r w:rsidRPr="003474BD">
              <w:rPr>
                <w:rFonts w:eastAsia="Cambria"/>
                <w:lang w:eastAsia="en-US"/>
              </w:rPr>
              <w:t>current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rating</w:t>
            </w:r>
            <w:proofErr w:type="spellEnd"/>
          </w:p>
        </w:tc>
        <w:tc>
          <w:tcPr>
            <w:tcW w:w="721" w:type="dxa"/>
            <w:vAlign w:val="center"/>
          </w:tcPr>
          <w:p w14:paraId="42F2CA3C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77452AF2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</w:tbl>
    <w:p w14:paraId="5870126F" w14:textId="77777777" w:rsidR="00D76F2C" w:rsidRPr="003474BD" w:rsidRDefault="00D76F2C" w:rsidP="00D76F2C">
      <w:pPr>
        <w:rPr>
          <w:u w:val="single"/>
        </w:rPr>
      </w:pPr>
    </w:p>
    <w:p w14:paraId="5E800BC8" w14:textId="77777777" w:rsidR="00D76F2C" w:rsidRPr="003474BD" w:rsidRDefault="00D76F2C" w:rsidP="00D76F2C">
      <w:pPr>
        <w:ind w:left="709" w:firstLine="11"/>
        <w:rPr>
          <w:u w:val="single"/>
        </w:rPr>
      </w:pPr>
      <w:r w:rsidRPr="003474BD">
        <w:rPr>
          <w:u w:val="single"/>
        </w:rPr>
        <w:t xml:space="preserve">SCADA </w:t>
      </w:r>
      <w:r>
        <w:rPr>
          <w:u w:val="single"/>
        </w:rPr>
        <w:t xml:space="preserve">и </w:t>
      </w:r>
      <w:proofErr w:type="spellStart"/>
      <w:r>
        <w:rPr>
          <w:u w:val="single"/>
        </w:rPr>
        <w:t>Теекомуникации</w:t>
      </w:r>
      <w:proofErr w:type="spellEnd"/>
    </w:p>
    <w:tbl>
      <w:tblPr>
        <w:tblStyle w:val="XETable1"/>
        <w:tblW w:w="8966" w:type="dxa"/>
        <w:tblLook w:val="04A0" w:firstRow="1" w:lastRow="0" w:firstColumn="1" w:lastColumn="0" w:noHBand="0" w:noVBand="1"/>
      </w:tblPr>
      <w:tblGrid>
        <w:gridCol w:w="1653"/>
        <w:gridCol w:w="5162"/>
        <w:gridCol w:w="816"/>
        <w:gridCol w:w="1335"/>
      </w:tblGrid>
      <w:tr w:rsidR="00D76F2C" w:rsidRPr="003474BD" w14:paraId="6EEA1BDE" w14:textId="77777777" w:rsidTr="00F01B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59" w:type="dxa"/>
            <w:vAlign w:val="center"/>
          </w:tcPr>
          <w:p w14:paraId="7150E13A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Doc</w:t>
            </w:r>
            <w:proofErr w:type="spellEnd"/>
            <w:r w:rsidRPr="003474BD">
              <w:rPr>
                <w:rFonts w:eastAsia="Cambria"/>
                <w:bCs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bCs/>
                <w:lang w:eastAsia="en-US"/>
              </w:rPr>
              <w:t>No</w:t>
            </w:r>
            <w:proofErr w:type="spellEnd"/>
            <w:r w:rsidRPr="003474BD">
              <w:rPr>
                <w:rFonts w:eastAsia="Cambria"/>
                <w:bCs/>
                <w:lang w:eastAsia="en-US"/>
              </w:rPr>
              <w:t>.</w:t>
            </w:r>
          </w:p>
        </w:tc>
        <w:tc>
          <w:tcPr>
            <w:tcW w:w="5552" w:type="dxa"/>
            <w:vAlign w:val="center"/>
          </w:tcPr>
          <w:p w14:paraId="46DD6BA6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Title</w:t>
            </w:r>
            <w:proofErr w:type="spellEnd"/>
          </w:p>
        </w:tc>
        <w:tc>
          <w:tcPr>
            <w:tcW w:w="721" w:type="dxa"/>
            <w:vAlign w:val="center"/>
          </w:tcPr>
          <w:p w14:paraId="3777A9A1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Rev</w:t>
            </w:r>
            <w:proofErr w:type="spellEnd"/>
            <w:r w:rsidRPr="003474BD">
              <w:rPr>
                <w:rFonts w:eastAsia="Cambria"/>
                <w:bCs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bCs/>
                <w:lang w:eastAsia="en-US"/>
              </w:rPr>
              <w:t>Year</w:t>
            </w:r>
            <w:proofErr w:type="spellEnd"/>
          </w:p>
        </w:tc>
        <w:tc>
          <w:tcPr>
            <w:tcW w:w="1234" w:type="dxa"/>
            <w:vAlign w:val="center"/>
          </w:tcPr>
          <w:p w14:paraId="04B355AA" w14:textId="77777777" w:rsidR="00D76F2C" w:rsidRPr="003474BD" w:rsidRDefault="00D76F2C" w:rsidP="00F01B81">
            <w:pPr>
              <w:ind w:left="83"/>
              <w:jc w:val="center"/>
              <w:rPr>
                <w:rFonts w:eastAsia="Cambria"/>
                <w:bCs/>
                <w:lang w:eastAsia="en-US"/>
              </w:rPr>
            </w:pPr>
            <w:proofErr w:type="spellStart"/>
            <w:r w:rsidRPr="003474BD">
              <w:rPr>
                <w:rFonts w:eastAsia="Cambria"/>
                <w:bCs/>
                <w:lang w:eastAsia="en-US"/>
              </w:rPr>
              <w:t>Reference</w:t>
            </w:r>
            <w:proofErr w:type="spellEnd"/>
          </w:p>
        </w:tc>
      </w:tr>
      <w:tr w:rsidR="00D76F2C" w:rsidRPr="003474BD" w14:paraId="4FFAC386" w14:textId="77777777" w:rsidTr="00F01B81">
        <w:tc>
          <w:tcPr>
            <w:tcW w:w="1459" w:type="dxa"/>
            <w:vAlign w:val="center"/>
          </w:tcPr>
          <w:p w14:paraId="263C0DEF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60870</w:t>
            </w:r>
          </w:p>
        </w:tc>
        <w:tc>
          <w:tcPr>
            <w:tcW w:w="5552" w:type="dxa"/>
          </w:tcPr>
          <w:p w14:paraId="68EF4E1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Telecontrol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equipment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</w:p>
        </w:tc>
        <w:tc>
          <w:tcPr>
            <w:tcW w:w="721" w:type="dxa"/>
            <w:vAlign w:val="center"/>
          </w:tcPr>
          <w:p w14:paraId="3F9367AD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14FD2ED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3C475C90" w14:textId="77777777" w:rsidTr="00F01B81">
        <w:tc>
          <w:tcPr>
            <w:tcW w:w="1459" w:type="dxa"/>
            <w:vAlign w:val="center"/>
          </w:tcPr>
          <w:p w14:paraId="622BC837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61131-3</w:t>
            </w:r>
          </w:p>
        </w:tc>
        <w:tc>
          <w:tcPr>
            <w:tcW w:w="5552" w:type="dxa"/>
          </w:tcPr>
          <w:p w14:paraId="44ACCC5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Programmable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Controllers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- </w:t>
            </w:r>
            <w:proofErr w:type="spellStart"/>
            <w:r w:rsidRPr="003474BD">
              <w:rPr>
                <w:rFonts w:eastAsia="Cambria"/>
                <w:lang w:eastAsia="en-US"/>
              </w:rPr>
              <w:t>Part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3: </w:t>
            </w:r>
            <w:proofErr w:type="spellStart"/>
            <w:r w:rsidRPr="003474BD">
              <w:rPr>
                <w:rFonts w:eastAsia="Cambria"/>
                <w:lang w:eastAsia="en-US"/>
              </w:rPr>
              <w:t>Programming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Languages</w:t>
            </w:r>
            <w:proofErr w:type="spellEnd"/>
          </w:p>
        </w:tc>
        <w:tc>
          <w:tcPr>
            <w:tcW w:w="721" w:type="dxa"/>
            <w:vAlign w:val="center"/>
          </w:tcPr>
          <w:p w14:paraId="3427B75D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2013</w:t>
            </w:r>
          </w:p>
        </w:tc>
        <w:tc>
          <w:tcPr>
            <w:tcW w:w="1234" w:type="dxa"/>
            <w:vAlign w:val="center"/>
          </w:tcPr>
          <w:p w14:paraId="72B2467F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69C55719" w14:textId="77777777" w:rsidTr="00F01B81">
        <w:tc>
          <w:tcPr>
            <w:tcW w:w="1459" w:type="dxa"/>
            <w:vAlign w:val="center"/>
          </w:tcPr>
          <w:p w14:paraId="18B6E5D8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61850</w:t>
            </w:r>
          </w:p>
        </w:tc>
        <w:tc>
          <w:tcPr>
            <w:tcW w:w="5552" w:type="dxa"/>
          </w:tcPr>
          <w:p w14:paraId="3B9C47AA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Communication </w:t>
            </w:r>
            <w:proofErr w:type="spellStart"/>
            <w:r w:rsidRPr="003474BD">
              <w:rPr>
                <w:rFonts w:eastAsia="Cambria"/>
                <w:lang w:eastAsia="en-US"/>
              </w:rPr>
              <w:t>protocols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intelligent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devices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substations</w:t>
            </w:r>
            <w:proofErr w:type="spellEnd"/>
          </w:p>
        </w:tc>
        <w:tc>
          <w:tcPr>
            <w:tcW w:w="721" w:type="dxa"/>
            <w:vAlign w:val="center"/>
          </w:tcPr>
          <w:p w14:paraId="7576276F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50D3D5FE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6CB9BE2" w14:textId="77777777" w:rsidTr="00F01B81">
        <w:tc>
          <w:tcPr>
            <w:tcW w:w="1459" w:type="dxa"/>
            <w:vAlign w:val="center"/>
          </w:tcPr>
          <w:p w14:paraId="52AB5484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61508</w:t>
            </w:r>
          </w:p>
        </w:tc>
        <w:tc>
          <w:tcPr>
            <w:tcW w:w="5552" w:type="dxa"/>
          </w:tcPr>
          <w:p w14:paraId="11D61E27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Functional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safety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>/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>/</w:t>
            </w:r>
            <w:proofErr w:type="spellStart"/>
            <w:r w:rsidRPr="003474BD">
              <w:rPr>
                <w:rFonts w:eastAsia="Cambria"/>
                <w:lang w:eastAsia="en-US"/>
              </w:rPr>
              <w:t>programmable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safety-related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</w:p>
        </w:tc>
        <w:tc>
          <w:tcPr>
            <w:tcW w:w="721" w:type="dxa"/>
            <w:vAlign w:val="center"/>
          </w:tcPr>
          <w:p w14:paraId="5E4F7B9C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2010</w:t>
            </w:r>
          </w:p>
        </w:tc>
        <w:tc>
          <w:tcPr>
            <w:tcW w:w="1234" w:type="dxa"/>
            <w:vAlign w:val="center"/>
          </w:tcPr>
          <w:p w14:paraId="2A45E76A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592B41B6" w14:textId="77777777" w:rsidTr="00F01B81">
        <w:tc>
          <w:tcPr>
            <w:tcW w:w="1459" w:type="dxa"/>
            <w:vAlign w:val="center"/>
          </w:tcPr>
          <w:p w14:paraId="5C2806CA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62443</w:t>
            </w:r>
          </w:p>
        </w:tc>
        <w:tc>
          <w:tcPr>
            <w:tcW w:w="5552" w:type="dxa"/>
          </w:tcPr>
          <w:p w14:paraId="06995D7C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Security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Standards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the </w:t>
            </w:r>
            <w:proofErr w:type="spellStart"/>
            <w:r w:rsidRPr="003474BD">
              <w:rPr>
                <w:rFonts w:eastAsia="Cambria"/>
                <w:lang w:eastAsia="en-US"/>
              </w:rPr>
              <w:t>secure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development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of </w:t>
            </w:r>
            <w:proofErr w:type="spellStart"/>
            <w:r w:rsidRPr="003474BD">
              <w:rPr>
                <w:rFonts w:eastAsia="Cambria"/>
                <w:lang w:eastAsia="en-US"/>
              </w:rPr>
              <w:t>Industrial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Automation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Systems (IACS)</w:t>
            </w:r>
          </w:p>
        </w:tc>
        <w:tc>
          <w:tcPr>
            <w:tcW w:w="721" w:type="dxa"/>
            <w:vAlign w:val="center"/>
          </w:tcPr>
          <w:p w14:paraId="44A41951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2018</w:t>
            </w:r>
          </w:p>
        </w:tc>
        <w:tc>
          <w:tcPr>
            <w:tcW w:w="1234" w:type="dxa"/>
            <w:vAlign w:val="center"/>
          </w:tcPr>
          <w:p w14:paraId="666C05E6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4272A14B" w14:textId="77777777" w:rsidTr="00F01B81">
        <w:tc>
          <w:tcPr>
            <w:tcW w:w="1459" w:type="dxa"/>
            <w:vAlign w:val="center"/>
          </w:tcPr>
          <w:p w14:paraId="6B84D84D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61511</w:t>
            </w:r>
          </w:p>
        </w:tc>
        <w:tc>
          <w:tcPr>
            <w:tcW w:w="5552" w:type="dxa"/>
          </w:tcPr>
          <w:p w14:paraId="626B0578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Functional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safety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- Safety </w:t>
            </w:r>
            <w:proofErr w:type="spellStart"/>
            <w:r w:rsidRPr="003474BD">
              <w:rPr>
                <w:rFonts w:eastAsia="Cambria"/>
                <w:lang w:eastAsia="en-US"/>
              </w:rPr>
              <w:t>instrumented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the </w:t>
            </w:r>
            <w:proofErr w:type="spellStart"/>
            <w:r w:rsidRPr="003474BD">
              <w:rPr>
                <w:rFonts w:eastAsia="Cambria"/>
                <w:lang w:eastAsia="en-US"/>
              </w:rPr>
              <w:t>process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industry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sector</w:t>
            </w:r>
            <w:proofErr w:type="spellEnd"/>
          </w:p>
        </w:tc>
        <w:tc>
          <w:tcPr>
            <w:tcW w:w="721" w:type="dxa"/>
            <w:vAlign w:val="center"/>
          </w:tcPr>
          <w:p w14:paraId="3EBDC46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11248E45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4CDF067E" w14:textId="77777777" w:rsidTr="00F01B81">
        <w:tc>
          <w:tcPr>
            <w:tcW w:w="1459" w:type="dxa"/>
            <w:vAlign w:val="center"/>
          </w:tcPr>
          <w:p w14:paraId="42A284E0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62439-2</w:t>
            </w:r>
          </w:p>
        </w:tc>
        <w:tc>
          <w:tcPr>
            <w:tcW w:w="5552" w:type="dxa"/>
          </w:tcPr>
          <w:p w14:paraId="6FD05BEA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Media </w:t>
            </w:r>
            <w:proofErr w:type="spellStart"/>
            <w:r w:rsidRPr="003474BD">
              <w:rPr>
                <w:rFonts w:eastAsia="Cambria"/>
                <w:lang w:eastAsia="en-US"/>
              </w:rPr>
              <w:t>Redundancy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Protocol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(MRP)</w:t>
            </w:r>
          </w:p>
        </w:tc>
        <w:tc>
          <w:tcPr>
            <w:tcW w:w="721" w:type="dxa"/>
            <w:vAlign w:val="center"/>
          </w:tcPr>
          <w:p w14:paraId="2763185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2022</w:t>
            </w:r>
          </w:p>
        </w:tc>
        <w:tc>
          <w:tcPr>
            <w:tcW w:w="1234" w:type="dxa"/>
            <w:vAlign w:val="center"/>
          </w:tcPr>
          <w:p w14:paraId="1FA9B705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19BE0F39" w14:textId="77777777" w:rsidTr="00F01B81">
        <w:tc>
          <w:tcPr>
            <w:tcW w:w="1459" w:type="dxa"/>
            <w:vAlign w:val="center"/>
          </w:tcPr>
          <w:p w14:paraId="2308FB26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IEEE/ISO/IEC 8802-3</w:t>
            </w:r>
          </w:p>
        </w:tc>
        <w:tc>
          <w:tcPr>
            <w:tcW w:w="5552" w:type="dxa"/>
          </w:tcPr>
          <w:p w14:paraId="2A979F72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Telecommunications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Exchange </w:t>
            </w:r>
            <w:proofErr w:type="spellStart"/>
            <w:r w:rsidRPr="003474BD">
              <w:rPr>
                <w:rFonts w:eastAsia="Cambria"/>
                <w:lang w:eastAsia="en-US"/>
              </w:rPr>
              <w:t>between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Information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Technology Systems - </w:t>
            </w:r>
            <w:proofErr w:type="spellStart"/>
            <w:r w:rsidRPr="003474BD">
              <w:rPr>
                <w:rFonts w:eastAsia="Cambria"/>
                <w:lang w:eastAsia="en-US"/>
              </w:rPr>
              <w:t>Requirements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Local and </w:t>
            </w:r>
            <w:proofErr w:type="spellStart"/>
            <w:r w:rsidRPr="003474BD">
              <w:rPr>
                <w:rFonts w:eastAsia="Cambria"/>
                <w:lang w:eastAsia="en-US"/>
              </w:rPr>
              <w:t>Metropolitan</w:t>
            </w:r>
            <w:proofErr w:type="spellEnd"/>
          </w:p>
        </w:tc>
        <w:tc>
          <w:tcPr>
            <w:tcW w:w="721" w:type="dxa"/>
            <w:vAlign w:val="center"/>
          </w:tcPr>
          <w:p w14:paraId="15CCAC90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2021</w:t>
            </w:r>
          </w:p>
        </w:tc>
        <w:tc>
          <w:tcPr>
            <w:tcW w:w="1234" w:type="dxa"/>
            <w:vAlign w:val="center"/>
          </w:tcPr>
          <w:p w14:paraId="6804C31D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IEEE</w:t>
            </w:r>
          </w:p>
        </w:tc>
      </w:tr>
      <w:tr w:rsidR="00D76F2C" w:rsidRPr="003474BD" w14:paraId="0F958596" w14:textId="77777777" w:rsidTr="00F01B81">
        <w:tc>
          <w:tcPr>
            <w:tcW w:w="1459" w:type="dxa"/>
            <w:vAlign w:val="center"/>
          </w:tcPr>
          <w:p w14:paraId="2B5AAF76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lastRenderedPageBreak/>
              <w:t>IEEE 1815</w:t>
            </w:r>
          </w:p>
        </w:tc>
        <w:tc>
          <w:tcPr>
            <w:tcW w:w="5552" w:type="dxa"/>
          </w:tcPr>
          <w:p w14:paraId="510A0CB8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Standard for Electric </w:t>
            </w:r>
            <w:proofErr w:type="spellStart"/>
            <w:r w:rsidRPr="003474BD">
              <w:rPr>
                <w:rFonts w:eastAsia="Cambria"/>
                <w:lang w:eastAsia="en-US"/>
              </w:rPr>
              <w:t>Power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Systems </w:t>
            </w:r>
            <w:proofErr w:type="spellStart"/>
            <w:r w:rsidRPr="003474BD">
              <w:rPr>
                <w:rFonts w:eastAsia="Cambria"/>
                <w:lang w:eastAsia="en-US"/>
              </w:rPr>
              <w:t>Communications-Distributed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Network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Protocol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(DNP3)</w:t>
            </w:r>
          </w:p>
        </w:tc>
        <w:tc>
          <w:tcPr>
            <w:tcW w:w="721" w:type="dxa"/>
            <w:vAlign w:val="center"/>
          </w:tcPr>
          <w:p w14:paraId="0996DA4B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2015</w:t>
            </w:r>
          </w:p>
        </w:tc>
        <w:tc>
          <w:tcPr>
            <w:tcW w:w="1234" w:type="dxa"/>
            <w:vAlign w:val="center"/>
          </w:tcPr>
          <w:p w14:paraId="7B4134DA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IEEE</w:t>
            </w:r>
          </w:p>
        </w:tc>
      </w:tr>
      <w:tr w:rsidR="00D76F2C" w:rsidRPr="003474BD" w14:paraId="4DAD3579" w14:textId="77777777" w:rsidTr="00F01B81">
        <w:tc>
          <w:tcPr>
            <w:tcW w:w="1459" w:type="dxa"/>
            <w:vAlign w:val="center"/>
          </w:tcPr>
          <w:p w14:paraId="76327EAA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IEEE 1588</w:t>
            </w:r>
          </w:p>
        </w:tc>
        <w:tc>
          <w:tcPr>
            <w:tcW w:w="5552" w:type="dxa"/>
          </w:tcPr>
          <w:p w14:paraId="0A324249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Standard for a </w:t>
            </w:r>
            <w:proofErr w:type="spellStart"/>
            <w:r w:rsidRPr="003474BD">
              <w:rPr>
                <w:rFonts w:eastAsia="Cambria"/>
                <w:lang w:eastAsia="en-US"/>
              </w:rPr>
              <w:t>Precision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Clock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Synchronization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– </w:t>
            </w:r>
            <w:proofErr w:type="spellStart"/>
            <w:r w:rsidRPr="003474BD">
              <w:rPr>
                <w:rFonts w:eastAsia="Cambria"/>
                <w:lang w:eastAsia="en-US"/>
              </w:rPr>
              <w:t>Precision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Time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Protocol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(PTP)</w:t>
            </w:r>
          </w:p>
        </w:tc>
        <w:tc>
          <w:tcPr>
            <w:tcW w:w="721" w:type="dxa"/>
            <w:vAlign w:val="center"/>
          </w:tcPr>
          <w:p w14:paraId="4525AE2E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2019</w:t>
            </w:r>
          </w:p>
        </w:tc>
        <w:tc>
          <w:tcPr>
            <w:tcW w:w="1234" w:type="dxa"/>
            <w:vAlign w:val="center"/>
          </w:tcPr>
          <w:p w14:paraId="5197F560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IEEE</w:t>
            </w:r>
          </w:p>
        </w:tc>
      </w:tr>
      <w:tr w:rsidR="00D76F2C" w:rsidRPr="003474BD" w14:paraId="4D877B74" w14:textId="77777777" w:rsidTr="00F01B81">
        <w:tc>
          <w:tcPr>
            <w:tcW w:w="1459" w:type="dxa"/>
            <w:vAlign w:val="center"/>
          </w:tcPr>
          <w:p w14:paraId="08E93562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60870</w:t>
            </w:r>
          </w:p>
        </w:tc>
        <w:tc>
          <w:tcPr>
            <w:tcW w:w="5552" w:type="dxa"/>
          </w:tcPr>
          <w:p w14:paraId="75B19C9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Telecontrol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equipment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and </w:t>
            </w:r>
            <w:proofErr w:type="spellStart"/>
            <w:r w:rsidRPr="003474BD">
              <w:rPr>
                <w:rFonts w:eastAsia="Cambria"/>
                <w:lang w:eastAsia="en-US"/>
              </w:rPr>
              <w:t>systems</w:t>
            </w:r>
            <w:proofErr w:type="spellEnd"/>
          </w:p>
        </w:tc>
        <w:tc>
          <w:tcPr>
            <w:tcW w:w="721" w:type="dxa"/>
            <w:vAlign w:val="center"/>
          </w:tcPr>
          <w:p w14:paraId="39D0F1DF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1FDBC7AA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3E079187" w14:textId="77777777" w:rsidTr="00F01B81">
        <w:tc>
          <w:tcPr>
            <w:tcW w:w="1459" w:type="dxa"/>
            <w:vAlign w:val="center"/>
          </w:tcPr>
          <w:p w14:paraId="619801E8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61131-3</w:t>
            </w:r>
          </w:p>
        </w:tc>
        <w:tc>
          <w:tcPr>
            <w:tcW w:w="5552" w:type="dxa"/>
          </w:tcPr>
          <w:p w14:paraId="1F8E0949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proofErr w:type="spellStart"/>
            <w:r w:rsidRPr="003474BD">
              <w:rPr>
                <w:rFonts w:eastAsia="Cambria"/>
                <w:lang w:eastAsia="en-US"/>
              </w:rPr>
              <w:t>Programmable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Controllers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- </w:t>
            </w:r>
            <w:proofErr w:type="spellStart"/>
            <w:r w:rsidRPr="003474BD">
              <w:rPr>
                <w:rFonts w:eastAsia="Cambria"/>
                <w:lang w:eastAsia="en-US"/>
              </w:rPr>
              <w:t>Part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3: </w:t>
            </w:r>
            <w:proofErr w:type="spellStart"/>
            <w:r w:rsidRPr="003474BD">
              <w:rPr>
                <w:rFonts w:eastAsia="Cambria"/>
                <w:lang w:eastAsia="en-US"/>
              </w:rPr>
              <w:t>Programming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Languages</w:t>
            </w:r>
            <w:proofErr w:type="spellEnd"/>
          </w:p>
        </w:tc>
        <w:tc>
          <w:tcPr>
            <w:tcW w:w="721" w:type="dxa"/>
            <w:vAlign w:val="center"/>
          </w:tcPr>
          <w:p w14:paraId="2706ED7E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2013</w:t>
            </w:r>
          </w:p>
        </w:tc>
        <w:tc>
          <w:tcPr>
            <w:tcW w:w="1234" w:type="dxa"/>
            <w:vAlign w:val="center"/>
          </w:tcPr>
          <w:p w14:paraId="4FD1C88C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  <w:tr w:rsidR="00D76F2C" w:rsidRPr="003474BD" w14:paraId="1D9482B6" w14:textId="77777777" w:rsidTr="00F01B81">
        <w:tc>
          <w:tcPr>
            <w:tcW w:w="1459" w:type="dxa"/>
            <w:vAlign w:val="center"/>
          </w:tcPr>
          <w:p w14:paraId="4366CCBF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 61850</w:t>
            </w:r>
          </w:p>
        </w:tc>
        <w:tc>
          <w:tcPr>
            <w:tcW w:w="5552" w:type="dxa"/>
          </w:tcPr>
          <w:p w14:paraId="59C99A05" w14:textId="77777777" w:rsidR="00D76F2C" w:rsidRPr="003474BD" w:rsidRDefault="00D76F2C" w:rsidP="00F01B81">
            <w:pPr>
              <w:spacing w:before="60" w:after="60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 xml:space="preserve">Communication </w:t>
            </w:r>
            <w:proofErr w:type="spellStart"/>
            <w:r w:rsidRPr="003474BD">
              <w:rPr>
                <w:rFonts w:eastAsia="Cambria"/>
                <w:lang w:eastAsia="en-US"/>
              </w:rPr>
              <w:t>protocols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for </w:t>
            </w:r>
            <w:proofErr w:type="spellStart"/>
            <w:r w:rsidRPr="003474BD">
              <w:rPr>
                <w:rFonts w:eastAsia="Cambria"/>
                <w:lang w:eastAsia="en-US"/>
              </w:rPr>
              <w:t>intelligent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electronic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devices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at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electrical</w:t>
            </w:r>
            <w:proofErr w:type="spellEnd"/>
            <w:r w:rsidRPr="003474BD">
              <w:rPr>
                <w:rFonts w:eastAsia="Cambria"/>
                <w:lang w:eastAsia="en-US"/>
              </w:rPr>
              <w:t xml:space="preserve"> </w:t>
            </w:r>
            <w:proofErr w:type="spellStart"/>
            <w:r w:rsidRPr="003474BD">
              <w:rPr>
                <w:rFonts w:eastAsia="Cambria"/>
                <w:lang w:eastAsia="en-US"/>
              </w:rPr>
              <w:t>substations</w:t>
            </w:r>
            <w:proofErr w:type="spellEnd"/>
          </w:p>
        </w:tc>
        <w:tc>
          <w:tcPr>
            <w:tcW w:w="721" w:type="dxa"/>
            <w:vAlign w:val="center"/>
          </w:tcPr>
          <w:p w14:paraId="26269B78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2023</w:t>
            </w:r>
          </w:p>
        </w:tc>
        <w:tc>
          <w:tcPr>
            <w:tcW w:w="1234" w:type="dxa"/>
            <w:vAlign w:val="center"/>
          </w:tcPr>
          <w:p w14:paraId="3227026B" w14:textId="77777777" w:rsidR="00D76F2C" w:rsidRPr="003474BD" w:rsidRDefault="00D76F2C" w:rsidP="00F01B81">
            <w:pPr>
              <w:spacing w:before="60" w:after="60"/>
              <w:jc w:val="center"/>
              <w:rPr>
                <w:rFonts w:eastAsia="Cambria"/>
                <w:lang w:eastAsia="en-US"/>
              </w:rPr>
            </w:pPr>
            <w:r w:rsidRPr="003474BD">
              <w:rPr>
                <w:rFonts w:eastAsia="Cambria"/>
                <w:lang w:eastAsia="en-US"/>
              </w:rPr>
              <w:t>IEC</w:t>
            </w:r>
          </w:p>
        </w:tc>
      </w:tr>
    </w:tbl>
    <w:p w14:paraId="656750AA" w14:textId="77777777" w:rsidR="00D76F2C" w:rsidRPr="003474BD" w:rsidRDefault="00D76F2C" w:rsidP="00D76F2C"/>
    <w:p w14:paraId="478E6DB6" w14:textId="045E89BA" w:rsidR="00D76F2C" w:rsidRPr="00FF4731" w:rsidRDefault="00FF4731" w:rsidP="00FF4731">
      <w:pPr>
        <w:spacing w:after="160" w:line="259" w:lineRule="auto"/>
        <w:rPr>
          <w:b/>
          <w:bCs/>
          <w:u w:val="single"/>
        </w:rPr>
      </w:pPr>
      <w:r w:rsidRPr="00FF4731">
        <w:rPr>
          <w:b/>
          <w:bCs/>
        </w:rPr>
        <w:t>3.2</w:t>
      </w:r>
      <w:r w:rsidRPr="00FF4731">
        <w:rPr>
          <w:b/>
          <w:bCs/>
        </w:rPr>
        <w:tab/>
      </w:r>
      <w:r w:rsidR="00D76F2C" w:rsidRPr="00FF4731">
        <w:rPr>
          <w:b/>
          <w:bCs/>
        </w:rPr>
        <w:t>Информационна и киберсигурност</w:t>
      </w:r>
    </w:p>
    <w:p w14:paraId="3E13C4CC" w14:textId="77777777" w:rsidR="00D76F2C" w:rsidRPr="003474BD" w:rsidRDefault="00D76F2C" w:rsidP="00D76F2C">
      <w:pPr>
        <w:ind w:left="709"/>
        <w:rPr>
          <w:u w:val="single"/>
        </w:rPr>
      </w:pPr>
      <w:bookmarkStart w:id="4" w:name="_Hlk169617080"/>
      <w:r>
        <w:rPr>
          <w:u w:val="single"/>
        </w:rPr>
        <w:t>Общ стандарт</w:t>
      </w:r>
      <w:r w:rsidRPr="003474BD">
        <w:rPr>
          <w:u w:val="single"/>
        </w:rPr>
        <w:t>:</w:t>
      </w:r>
      <w:r w:rsidRPr="003474BD">
        <w:t xml:space="preserve"> ISO 27001 </w:t>
      </w:r>
      <w:r>
        <w:t>за съоръжението за съхранение (валиден към датата на изплащане на средствата по договора за финансиране)</w:t>
      </w:r>
      <w:bookmarkEnd w:id="4"/>
      <w:r w:rsidRPr="003474BD">
        <w:t>.</w:t>
      </w:r>
    </w:p>
    <w:p w14:paraId="17718C3F" w14:textId="77777777" w:rsidR="00D76F2C" w:rsidRPr="003474BD" w:rsidRDefault="00D76F2C" w:rsidP="00D76F2C"/>
    <w:p w14:paraId="7A1E00F5" w14:textId="36CC70B8" w:rsidR="00D76F2C" w:rsidRPr="00FF4731" w:rsidRDefault="00FF4731" w:rsidP="00FF4731">
      <w:pPr>
        <w:spacing w:after="160" w:line="259" w:lineRule="auto"/>
        <w:rPr>
          <w:b/>
          <w:bCs/>
        </w:rPr>
      </w:pPr>
      <w:r>
        <w:rPr>
          <w:b/>
          <w:bCs/>
        </w:rPr>
        <w:t>3.3</w:t>
      </w:r>
      <w:r>
        <w:rPr>
          <w:b/>
          <w:bCs/>
        </w:rPr>
        <w:tab/>
      </w:r>
      <w:r w:rsidR="00D76F2C" w:rsidRPr="00FF4731">
        <w:rPr>
          <w:b/>
          <w:bCs/>
        </w:rPr>
        <w:t>Качество</w:t>
      </w:r>
    </w:p>
    <w:p w14:paraId="6C17C06C" w14:textId="77777777" w:rsidR="00D76F2C" w:rsidRPr="003474BD" w:rsidRDefault="00D76F2C" w:rsidP="00D76F2C">
      <w:pPr>
        <w:ind w:left="709"/>
        <w:rPr>
          <w:u w:val="single"/>
        </w:rPr>
      </w:pPr>
      <w:bookmarkStart w:id="5" w:name="_Hlk169617088"/>
      <w:r>
        <w:rPr>
          <w:u w:val="single"/>
        </w:rPr>
        <w:t>Общ стандарт</w:t>
      </w:r>
      <w:r w:rsidRPr="003474BD">
        <w:rPr>
          <w:u w:val="single"/>
        </w:rPr>
        <w:t xml:space="preserve">: </w:t>
      </w:r>
      <w:r w:rsidRPr="003474BD">
        <w:t xml:space="preserve">ISO 9001 </w:t>
      </w:r>
      <w:r w:rsidRPr="00314434">
        <w:rPr>
          <w:bCs/>
        </w:rPr>
        <w:t xml:space="preserve">издаден на името на: (а) изпълнителя на строителството (валиден за целия период от започване до завършване на строежа); (б) производителя на основните компоненти на съоръжението за съхранение (валиден за периода от датата на поръчка до датата на доставка на съответните компоненти); и (в) крайния получател, </w:t>
      </w:r>
      <w:r w:rsidRPr="00355077">
        <w:rPr>
          <w:bCs/>
        </w:rPr>
        <w:t xml:space="preserve"> </w:t>
      </w:r>
      <w:r>
        <w:rPr>
          <w:bCs/>
        </w:rPr>
        <w:t xml:space="preserve">който </w:t>
      </w:r>
      <w:r w:rsidRPr="00355077">
        <w:rPr>
          <w:bCs/>
        </w:rPr>
        <w:t>следва да го получи и представи в срок до 30 май 2026 г. или до 31 декември 2027 г., като в последния случай валидността на банковата гаранция за добро изпълнение следва да бъде удължена, за да покрие този допълнителен период</w:t>
      </w:r>
      <w:r w:rsidRPr="003474BD">
        <w:t>.</w:t>
      </w:r>
      <w:bookmarkEnd w:id="5"/>
    </w:p>
    <w:p w14:paraId="663DCE2B" w14:textId="77777777" w:rsidR="00D76F2C" w:rsidRPr="003474BD" w:rsidRDefault="00D76F2C" w:rsidP="00D76F2C"/>
    <w:p w14:paraId="6C1B26DA" w14:textId="20B66D85" w:rsidR="00D76F2C" w:rsidRPr="00FF4731" w:rsidRDefault="00FF4731" w:rsidP="00FF4731">
      <w:pPr>
        <w:spacing w:after="160" w:line="259" w:lineRule="auto"/>
        <w:rPr>
          <w:b/>
          <w:bCs/>
        </w:rPr>
      </w:pPr>
      <w:r>
        <w:rPr>
          <w:b/>
          <w:bCs/>
        </w:rPr>
        <w:t>3.4</w:t>
      </w:r>
      <w:r>
        <w:rPr>
          <w:b/>
          <w:bCs/>
        </w:rPr>
        <w:tab/>
      </w:r>
      <w:r w:rsidR="00D76F2C" w:rsidRPr="00FF4731">
        <w:rPr>
          <w:b/>
          <w:bCs/>
        </w:rPr>
        <w:t>Околна среда</w:t>
      </w:r>
    </w:p>
    <w:p w14:paraId="68AE743A" w14:textId="77777777" w:rsidR="00D76F2C" w:rsidRPr="003474BD" w:rsidRDefault="00D76F2C" w:rsidP="00D76F2C">
      <w:pPr>
        <w:ind w:left="709"/>
      </w:pPr>
      <w:bookmarkStart w:id="6" w:name="_Hlk169617120"/>
      <w:r>
        <w:rPr>
          <w:u w:val="single"/>
        </w:rPr>
        <w:t>Общ стандарт</w:t>
      </w:r>
      <w:r w:rsidRPr="003474BD">
        <w:rPr>
          <w:u w:val="single"/>
        </w:rPr>
        <w:t xml:space="preserve">: </w:t>
      </w:r>
      <w:r w:rsidRPr="003474BD">
        <w:t xml:space="preserve">ISO </w:t>
      </w:r>
      <w:r>
        <w:rPr>
          <w:lang w:val="en-US"/>
        </w:rPr>
        <w:t>14</w:t>
      </w:r>
      <w:r w:rsidRPr="003474BD">
        <w:t xml:space="preserve">001 </w:t>
      </w:r>
      <w:r w:rsidRPr="00314434">
        <w:rPr>
          <w:bCs/>
        </w:rPr>
        <w:t xml:space="preserve">издаден на името на: (а) изпълнителя на строителството (валиден за целия период от започване до завършване на строежа); (б) производителя на основните компоненти на съоръжението за съхранение (валиден за периода от датата на поръчка до датата на доставка на съответните компоненти); и (в) крайния получател, </w:t>
      </w:r>
      <w:r w:rsidRPr="00355077">
        <w:rPr>
          <w:bCs/>
        </w:rPr>
        <w:t xml:space="preserve"> </w:t>
      </w:r>
      <w:r>
        <w:rPr>
          <w:bCs/>
        </w:rPr>
        <w:t xml:space="preserve">който </w:t>
      </w:r>
      <w:r w:rsidRPr="00355077">
        <w:rPr>
          <w:bCs/>
        </w:rPr>
        <w:t>следва да го получи и представи в срок до 30 май 2026 г. или до 31 декември 2027 г., като в последния случай валидността на банковата гаранция за добро изпълнение следва да бъде удължена, за да покрие този допълнителен период</w:t>
      </w:r>
      <w:r w:rsidRPr="003474BD">
        <w:t>.</w:t>
      </w:r>
      <w:bookmarkEnd w:id="6"/>
    </w:p>
    <w:p w14:paraId="07ADB8CE" w14:textId="77777777" w:rsidR="00D76F2C" w:rsidRPr="003474BD" w:rsidRDefault="00D76F2C" w:rsidP="00D76F2C">
      <w:pPr>
        <w:ind w:left="709"/>
      </w:pPr>
    </w:p>
    <w:p w14:paraId="2E97613F" w14:textId="77777777" w:rsidR="00D76F2C" w:rsidRPr="00F025F7" w:rsidRDefault="00D76F2C" w:rsidP="00D76F2C">
      <w:pPr>
        <w:pStyle w:val="Stext"/>
        <w:ind w:left="360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bg-BG"/>
        </w:rPr>
      </w:pP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Обща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бележка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: В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случай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че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заявителят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не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прилага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някое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от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горепосочените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допълнителни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изисквания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по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точка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2,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той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трябва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да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докаже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че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е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приложил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алтернативен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стандарт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който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е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приемлив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съгласно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българското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законодателство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и </w:t>
      </w:r>
      <w:proofErr w:type="spellStart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>законодателството</w:t>
      </w:r>
      <w:proofErr w:type="spellEnd"/>
      <w:r w:rsidRPr="00F025F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на ЕС.</w:t>
      </w:r>
    </w:p>
    <w:p w14:paraId="061F8DE9" w14:textId="735BB8C1" w:rsidR="008A013F" w:rsidRPr="00805D8B" w:rsidRDefault="008A013F" w:rsidP="00805D8B">
      <w:pPr>
        <w:spacing w:line="280" w:lineRule="atLeast"/>
        <w:rPr>
          <w:rFonts w:eastAsia="Verdana"/>
          <w:lang w:eastAsia="de-AT"/>
        </w:rPr>
      </w:pPr>
    </w:p>
    <w:sectPr w:rsidR="008A013F" w:rsidRPr="00805D8B" w:rsidSect="00BC03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418" w:bottom="1418" w:left="1418" w:header="720" w:footer="720" w:gutter="0"/>
      <w:pgNumType w:start="1"/>
      <w:cols w:space="720"/>
      <w:titlePg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BfAGEAcgBiAA==" wne:acdName="acd0" wne:fciIndexBasedOn="0065"/>
    <wne:acd wne:argValue="AgBTAF8AdABlAHgAdAAgADEAXwBhAHIAYgA=" wne:acdName="acd1" wne:fciIndexBasedOn="0065"/>
    <wne:acd wne:argValue="AgBTAF8AdABlAHgAdAAgADIAXwBhAHIAYgA=" wne:acdName="acd2" wne:fciIndexBasedOn="0065"/>
    <wne:acd wne:argValue="AgBTAF8AdABlAHgAdAAgADMAXwBhAHIAYgA=" wne:acdName="acd3" wne:fciIndexBasedOn="0065"/>
    <wne:acd wne:argValue="AgBTAF8AdABlAHgAdAAgADQAXwBhAHIAYgA=" wne:acdName="acd4" wne:fciIndexBasedOn="0065"/>
    <wne:acd wne:argValue="AgBTAF8AdABlAHgAdAAgADUAXwBhAHIAYgA=" wne:acdName="acd5" wne:fciIndexBasedOn="0065"/>
    <wne:acd wne:argValue="AgBTAF8AaABlAGEAZABpAG4AZwAgADEAXwBhAHIAYgA=" wne:acdName="acd6" wne:fciIndexBasedOn="0065"/>
    <wne:acd wne:argValue="AgBTAF8AaABlAGEAZABpAG4AZwAgADIAXwBhAHIAYgA=" wne:acdName="acd7" wne:fciIndexBasedOn="0065"/>
    <wne:acd wne:argValue="AgBTAF8AaABlAGEAZABpAG4AZwAgADMAXwBhAHIAYgA=" wne:acdName="acd8" wne:fciIndexBasedOn="0065"/>
    <wne:acd wne:argValue="AgBTAF8AaABlAGEAZABpAG4AZwAgADQAXwBhAHIAYgA=" wne:acdName="acd9" wne:fciIndexBasedOn="0065"/>
    <wne:acd wne:argValue="AgBTAF8AaABlAGEAZABpAG4AZwAgADUAXwBhAHIAYgA=" wne:acdName="acd10" wne:fciIndexBasedOn="0065"/>
    <wne:acd wne:argValue="AgBTAF8ATgB1AG0AYgBlAHIAZQBkACAAUABhAHIAYQBnAHIAYQBwAGgAIAAxAF8AYQByAGIA" wne:acdName="acd11" wne:fciIndexBasedOn="0065"/>
    <wne:acd wne:argValue="AgBTAF8ATgB1AG0AYgBlAHIAZQBkACAAUABhAHIAYQBnAHIAYQBwAGgAIAAyAF8AYQByAGIA" wne:acdName="acd12" wne:fciIndexBasedOn="0065"/>
    <wne:acd wne:argValue="AgBTAF8ATgB1AG0AYgBlAHIAZQBkACAAUABhAHIAYQBnAHIAYQBwAGgAIAAzAF8AYQByAGIA" wne:acdName="acd13" wne:fciIndexBasedOn="0065"/>
    <wne:acd wne:argValue="AgBTAF8ATgB1AG0AYgBlAHIAZQBkACAAUABhAHIAYQBnAHIAYQBwAGgAIAA0AF8AYQByAGIA" wne:acdName="acd14" wne:fciIndexBasedOn="0065"/>
    <wne:acd wne:argValue="AgBTAF8ATgB1AG0AYgBlAHIAZQBkACAAUABhAHIAYQBnAHIAYQBwAGgAIAA1AF8AYQByAGIA" wne:acdName="acd15" wne:fciIndexBasedOn="0065"/>
    <wne:acd wne:argValue="AgBTAF8AbQBhAHIAZwBpAG4AYQBsACAAbgB1AG0AYgBlAHIAXwBhAHIAYgA=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78FE" w14:textId="77777777" w:rsidR="00D52761" w:rsidRDefault="00D52761">
      <w:pPr>
        <w:pStyle w:val="Stext"/>
      </w:pPr>
      <w:r>
        <w:separator/>
      </w:r>
    </w:p>
    <w:p w14:paraId="2BBD5EAC" w14:textId="77777777" w:rsidR="00D52761" w:rsidRDefault="00D52761">
      <w:pPr>
        <w:pStyle w:val="Stext"/>
      </w:pPr>
    </w:p>
    <w:p w14:paraId="1AE5C161" w14:textId="77777777" w:rsidR="00D52761" w:rsidRDefault="00D52761">
      <w:pPr>
        <w:pStyle w:val="Stext"/>
      </w:pPr>
    </w:p>
    <w:p w14:paraId="7B38785B" w14:textId="77777777" w:rsidR="00D52761" w:rsidRDefault="00D52761">
      <w:pPr>
        <w:pStyle w:val="Stext"/>
      </w:pPr>
    </w:p>
  </w:endnote>
  <w:endnote w:type="continuationSeparator" w:id="0">
    <w:p w14:paraId="605745E9" w14:textId="77777777" w:rsidR="00D52761" w:rsidRDefault="00D52761">
      <w:pPr>
        <w:pStyle w:val="Stext"/>
      </w:pPr>
      <w:r>
        <w:continuationSeparator/>
      </w:r>
    </w:p>
    <w:p w14:paraId="0F21F6FB" w14:textId="77777777" w:rsidR="00D52761" w:rsidRDefault="00D52761">
      <w:pPr>
        <w:pStyle w:val="Stext"/>
      </w:pPr>
    </w:p>
    <w:p w14:paraId="250CADE9" w14:textId="77777777" w:rsidR="00D52761" w:rsidRDefault="00D52761">
      <w:pPr>
        <w:pStyle w:val="Stext"/>
      </w:pPr>
    </w:p>
    <w:p w14:paraId="72789C5B" w14:textId="77777777" w:rsidR="00D52761" w:rsidRDefault="00D52761">
      <w:pPr>
        <w:pStyle w:val="S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NeueLT Pro 43 LtEx">
    <w:panose1 w:val="020B0503020202020204"/>
    <w:charset w:val="00"/>
    <w:family w:val="swiss"/>
    <w:notTrueType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9530" w14:textId="77777777" w:rsidR="007413BE" w:rsidRDefault="007413BE">
    <w:pPr>
      <w:pStyle w:val="Stex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5A88" w14:textId="77777777" w:rsidR="007413BE" w:rsidRDefault="007413BE">
    <w:pPr>
      <w:pStyle w:val="Stex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E6C98" w14:textId="77777777" w:rsidR="007413BE" w:rsidRDefault="007413BE">
    <w:pPr>
      <w:pStyle w:val="S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FB2AE" w14:textId="77777777" w:rsidR="00D52761" w:rsidRDefault="00D52761">
      <w:pPr>
        <w:pStyle w:val="Stext"/>
      </w:pPr>
      <w:r>
        <w:separator/>
      </w:r>
    </w:p>
  </w:footnote>
  <w:footnote w:type="continuationSeparator" w:id="0">
    <w:p w14:paraId="6E3DD464" w14:textId="77777777" w:rsidR="00D52761" w:rsidRDefault="00D52761">
      <w:pPr>
        <w:pStyle w:val="Stext"/>
      </w:pPr>
      <w:r>
        <w:continuationSeparator/>
      </w:r>
    </w:p>
  </w:footnote>
  <w:footnote w:type="continuationNotice" w:id="1">
    <w:p w14:paraId="7BFFA770" w14:textId="77777777" w:rsidR="00D52761" w:rsidRPr="00E77452" w:rsidRDefault="00D52761" w:rsidP="00BC0339">
      <w:pPr>
        <w:pStyle w:val="S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61F6" w14:textId="77777777" w:rsidR="007413BE" w:rsidRDefault="00096C3E">
    <w:pPr>
      <w:pStyle w:val="Stex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23C94" w14:textId="77777777" w:rsidR="007413BE" w:rsidRDefault="00096C3E" w:rsidP="008D029B">
    <w:pPr>
      <w:pStyle w:val="Snumberofpages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rPr>
        <w:noProof/>
      </w:rPr>
      <w:fldChar w:fldCharType="end"/>
    </w:r>
    <w: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Ind w:w="-5" w:type="dxa"/>
      <w:tblLook w:val="04A0" w:firstRow="1" w:lastRow="0" w:firstColumn="1" w:lastColumn="0" w:noHBand="0" w:noVBand="1"/>
    </w:tblPr>
    <w:tblGrid>
      <w:gridCol w:w="4082"/>
      <w:gridCol w:w="5926"/>
    </w:tblGrid>
    <w:tr w:rsidR="002B017E" w:rsidRPr="006923A3" w14:paraId="365C4181" w14:textId="77777777" w:rsidTr="00F01B81">
      <w:trPr>
        <w:trHeight w:val="1731"/>
      </w:trPr>
      <w:tc>
        <w:tcPr>
          <w:tcW w:w="4082" w:type="dxa"/>
          <w:shd w:val="clear" w:color="auto" w:fill="auto"/>
        </w:tcPr>
        <w:p w14:paraId="2A7FF01E" w14:textId="7D486FC9" w:rsidR="002B017E" w:rsidRPr="006923A3" w:rsidRDefault="002B017E" w:rsidP="002B017E">
          <w:pPr>
            <w:jc w:val="center"/>
            <w:rPr>
              <w:b/>
              <w:sz w:val="28"/>
              <w:szCs w:val="28"/>
            </w:rPr>
          </w:pPr>
          <w:r w:rsidRPr="006923A3">
            <w:rPr>
              <w:b/>
              <w:noProof/>
            </w:rPr>
            <w:drawing>
              <wp:anchor distT="0" distB="0" distL="114300" distR="114300" simplePos="0" relativeHeight="251659264" behindDoc="1" locked="0" layoutInCell="1" allowOverlap="1" wp14:anchorId="14A0237D" wp14:editId="0F45A144">
                <wp:simplePos x="0" y="0"/>
                <wp:positionH relativeFrom="column">
                  <wp:posOffset>154940</wp:posOffset>
                </wp:positionH>
                <wp:positionV relativeFrom="paragraph">
                  <wp:posOffset>60325</wp:posOffset>
                </wp:positionV>
                <wp:extent cx="1295400" cy="936625"/>
                <wp:effectExtent l="0" t="0" r="0" b="0"/>
                <wp:wrapNone/>
                <wp:docPr id="2" name="Picture 2" descr="gerb_color_ME_bg_w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rb_color_ME_bg_w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92B83A5" w14:textId="77777777" w:rsidR="002B017E" w:rsidRPr="006923A3" w:rsidRDefault="002B017E" w:rsidP="002B017E">
          <w:pPr>
            <w:jc w:val="center"/>
            <w:rPr>
              <w:sz w:val="14"/>
              <w:szCs w:val="14"/>
            </w:rPr>
          </w:pPr>
        </w:p>
        <w:p w14:paraId="65661520" w14:textId="77777777" w:rsidR="002B017E" w:rsidRPr="006923A3" w:rsidRDefault="002B017E" w:rsidP="002B017E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Cs/>
              <w:snapToGrid w:val="0"/>
            </w:rPr>
          </w:pPr>
        </w:p>
      </w:tc>
      <w:tc>
        <w:tcPr>
          <w:tcW w:w="5926" w:type="dxa"/>
          <w:shd w:val="clear" w:color="auto" w:fill="auto"/>
          <w:hideMark/>
        </w:tcPr>
        <w:p w14:paraId="184551B5" w14:textId="6B90B02F" w:rsidR="002B017E" w:rsidRPr="006923A3" w:rsidRDefault="002B017E" w:rsidP="002B017E">
          <w:pPr>
            <w:tabs>
              <w:tab w:val="center" w:pos="4153"/>
              <w:tab w:val="right" w:pos="9356"/>
            </w:tabs>
            <w:jc w:val="center"/>
            <w:rPr>
              <w:rFonts w:cs="Arial"/>
              <w:bCs/>
              <w:snapToGrid w:val="0"/>
              <w:lang w:val="en-GB"/>
            </w:rPr>
          </w:pPr>
          <w:r w:rsidRPr="006923A3">
            <w:rPr>
              <w:b/>
              <w:noProof/>
            </w:rPr>
            <w:drawing>
              <wp:anchor distT="0" distB="0" distL="114300" distR="114300" simplePos="0" relativeHeight="251660288" behindDoc="1" locked="0" layoutInCell="1" allowOverlap="1" wp14:anchorId="5E7E3339" wp14:editId="24ABBD7A">
                <wp:simplePos x="0" y="0"/>
                <wp:positionH relativeFrom="margin">
                  <wp:posOffset>780415</wp:posOffset>
                </wp:positionH>
                <wp:positionV relativeFrom="paragraph">
                  <wp:posOffset>154940</wp:posOffset>
                </wp:positionV>
                <wp:extent cx="2642235" cy="730250"/>
                <wp:effectExtent l="0" t="0" r="0" b="0"/>
                <wp:wrapNone/>
                <wp:docPr id="1" name="Picture 1" descr="BG Финансирано от Европейския съюз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G Финансирано от Европейския съюз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2235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6BA8E6D" w14:textId="77777777" w:rsidR="00353C06" w:rsidRDefault="00353C06">
    <w:pPr>
      <w:pStyle w:val="S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2307"/>
    <w:multiLevelType w:val="multilevel"/>
    <w:tmpl w:val="0A6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8FB4914"/>
    <w:multiLevelType w:val="hybridMultilevel"/>
    <w:tmpl w:val="6BE836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946CED"/>
    <w:multiLevelType w:val="hybridMultilevel"/>
    <w:tmpl w:val="2E1C746E"/>
    <w:lvl w:ilvl="0" w:tplc="3CB420EA">
      <w:start w:val="1"/>
      <w:numFmt w:val="decimal"/>
      <w:suff w:val="nothing"/>
      <w:lvlText w:val="%1."/>
      <w:lvlJc w:val="left"/>
      <w:pPr>
        <w:ind w:left="510" w:hanging="51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9A47314"/>
    <w:multiLevelType w:val="multilevel"/>
    <w:tmpl w:val="11344294"/>
    <w:name w:val="S heading_arb"/>
    <w:lvl w:ilvl="0">
      <w:start w:val="1"/>
      <w:numFmt w:val="upperRoman"/>
      <w:pStyle w:val="SheadingIarb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Sheading1arb"/>
      <w:lvlText w:val="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Sheading2arb"/>
      <w:lvlText w:val="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Sheading3arb"/>
      <w:lvlText w:val="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pStyle w:val="Sheading4arb"/>
      <w:lvlText w:val="%2.%3.%4.%5"/>
      <w:lvlJc w:val="left"/>
      <w:pPr>
        <w:tabs>
          <w:tab w:val="num" w:pos="2269"/>
        </w:tabs>
        <w:ind w:left="2269" w:hanging="1418"/>
      </w:pPr>
    </w:lvl>
    <w:lvl w:ilvl="5">
      <w:start w:val="1"/>
      <w:numFmt w:val="decimal"/>
      <w:pStyle w:val="Sheading5arb"/>
      <w:lvlText w:val="%2.%3.%4.%5.%6"/>
      <w:lvlJc w:val="left"/>
      <w:pPr>
        <w:tabs>
          <w:tab w:val="num" w:pos="2269"/>
        </w:tabs>
        <w:ind w:left="2269" w:hanging="1418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1">
    <w:nsid w:val="22A47319"/>
    <w:multiLevelType w:val="multilevel"/>
    <w:tmpl w:val="16454294"/>
    <w:name w:val="S headingL"/>
    <w:lvl w:ilvl="0">
      <w:start w:val="1"/>
      <w:numFmt w:val="upperRoman"/>
      <w:pStyle w:val="SheadingIL"/>
      <w:lvlText w:val="%1."/>
      <w:lvlJc w:val="left"/>
      <w:pPr>
        <w:tabs>
          <w:tab w:val="num" w:pos="964"/>
        </w:tabs>
        <w:ind w:left="964" w:hanging="964"/>
      </w:pPr>
    </w:lvl>
    <w:lvl w:ilvl="1">
      <w:start w:val="1"/>
      <w:numFmt w:val="decimal"/>
      <w:pStyle w:val="SheadingL1"/>
      <w:lvlText w:val="%2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SheadingL2"/>
      <w:lvlText w:val="%2.%3"/>
      <w:lvlJc w:val="left"/>
      <w:pPr>
        <w:tabs>
          <w:tab w:val="num" w:pos="964"/>
        </w:tabs>
        <w:ind w:left="964" w:hanging="964"/>
      </w:pPr>
    </w:lvl>
    <w:lvl w:ilvl="3">
      <w:start w:val="1"/>
      <w:numFmt w:val="decimal"/>
      <w:pStyle w:val="SheadingL3"/>
      <w:lvlText w:val="%2.%3.%4"/>
      <w:lvlJc w:val="left"/>
      <w:pPr>
        <w:tabs>
          <w:tab w:val="num" w:pos="964"/>
        </w:tabs>
        <w:ind w:left="964" w:hanging="964"/>
      </w:pPr>
    </w:lvl>
    <w:lvl w:ilvl="4">
      <w:start w:val="1"/>
      <w:numFmt w:val="decimal"/>
      <w:pStyle w:val="SheadingL4"/>
      <w:lvlText w:val="%2.%3.%4.%5"/>
      <w:lvlJc w:val="left"/>
      <w:pPr>
        <w:tabs>
          <w:tab w:val="num" w:pos="964"/>
        </w:tabs>
        <w:ind w:left="964" w:hanging="964"/>
      </w:pPr>
    </w:lvl>
    <w:lvl w:ilvl="5">
      <w:start w:val="1"/>
      <w:numFmt w:val="decimal"/>
      <w:pStyle w:val="SheadingL5"/>
      <w:lvlText w:val="%2.%3.%4.%5.%6"/>
      <w:lvlJc w:val="left"/>
      <w:pPr>
        <w:tabs>
          <w:tab w:val="num" w:pos="964"/>
        </w:tabs>
        <w:ind w:left="964" w:hanging="964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1">
    <w:nsid w:val="22A47320"/>
    <w:multiLevelType w:val="multilevel"/>
    <w:tmpl w:val="16454295"/>
    <w:name w:val="S headingM"/>
    <w:lvl w:ilvl="0">
      <w:start w:val="1"/>
      <w:numFmt w:val="upperRoman"/>
      <w:pStyle w:val="SheadingIM"/>
      <w:lvlText w:val="%1."/>
      <w:lvlJc w:val="left"/>
      <w:pPr>
        <w:tabs>
          <w:tab w:val="num" w:pos="964"/>
        </w:tabs>
        <w:ind w:left="964" w:hanging="964"/>
      </w:pPr>
    </w:lvl>
    <w:lvl w:ilvl="1">
      <w:start w:val="1"/>
      <w:numFmt w:val="decimal"/>
      <w:pStyle w:val="SheadingM1"/>
      <w:lvlText w:val="%2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SheadingM2"/>
      <w:lvlText w:val="%2.%3"/>
      <w:lvlJc w:val="left"/>
      <w:pPr>
        <w:tabs>
          <w:tab w:val="num" w:pos="964"/>
        </w:tabs>
        <w:ind w:left="964" w:hanging="964"/>
      </w:pPr>
    </w:lvl>
    <w:lvl w:ilvl="3">
      <w:start w:val="1"/>
      <w:numFmt w:val="decimal"/>
      <w:pStyle w:val="SheadingM3"/>
      <w:lvlText w:val="%2.%3.%4"/>
      <w:lvlJc w:val="left"/>
      <w:pPr>
        <w:tabs>
          <w:tab w:val="num" w:pos="964"/>
        </w:tabs>
        <w:ind w:left="964" w:hanging="964"/>
      </w:pPr>
    </w:lvl>
    <w:lvl w:ilvl="4">
      <w:start w:val="1"/>
      <w:numFmt w:val="decimal"/>
      <w:pStyle w:val="SheadingM4"/>
      <w:lvlText w:val="%2.%3.%4.%5"/>
      <w:lvlJc w:val="left"/>
      <w:pPr>
        <w:tabs>
          <w:tab w:val="num" w:pos="964"/>
        </w:tabs>
        <w:ind w:left="964" w:hanging="964"/>
      </w:pPr>
    </w:lvl>
    <w:lvl w:ilvl="5">
      <w:start w:val="1"/>
      <w:numFmt w:val="decimal"/>
      <w:pStyle w:val="SheadingM5"/>
      <w:lvlText w:val="%2.%3.%4.%5.%6"/>
      <w:lvlJc w:val="left"/>
      <w:pPr>
        <w:tabs>
          <w:tab w:val="num" w:pos="964"/>
        </w:tabs>
        <w:ind w:left="964" w:hanging="964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1">
    <w:nsid w:val="22A47321"/>
    <w:multiLevelType w:val="multilevel"/>
    <w:tmpl w:val="16454296"/>
    <w:name w:val="S headingR"/>
    <w:lvl w:ilvl="0">
      <w:start w:val="1"/>
      <w:numFmt w:val="upperRoman"/>
      <w:pStyle w:val="SheadingIR"/>
      <w:lvlText w:val="%1."/>
      <w:lvlJc w:val="left"/>
      <w:pPr>
        <w:tabs>
          <w:tab w:val="num" w:pos="964"/>
        </w:tabs>
        <w:ind w:left="964" w:hanging="964"/>
      </w:pPr>
    </w:lvl>
    <w:lvl w:ilvl="1">
      <w:start w:val="1"/>
      <w:numFmt w:val="decimal"/>
      <w:pStyle w:val="SheadingR1"/>
      <w:lvlText w:val="%2"/>
      <w:lvlJc w:val="left"/>
      <w:pPr>
        <w:tabs>
          <w:tab w:val="num" w:pos="964"/>
        </w:tabs>
        <w:ind w:left="964" w:hanging="964"/>
      </w:pPr>
    </w:lvl>
    <w:lvl w:ilvl="2">
      <w:start w:val="1"/>
      <w:numFmt w:val="decimal"/>
      <w:pStyle w:val="SheadingR2"/>
      <w:lvlText w:val="%2.%3"/>
      <w:lvlJc w:val="left"/>
      <w:pPr>
        <w:tabs>
          <w:tab w:val="num" w:pos="964"/>
        </w:tabs>
        <w:ind w:left="964" w:hanging="964"/>
      </w:pPr>
    </w:lvl>
    <w:lvl w:ilvl="3">
      <w:start w:val="1"/>
      <w:numFmt w:val="decimal"/>
      <w:pStyle w:val="SheadingR3"/>
      <w:lvlText w:val="%2.%3.%4"/>
      <w:lvlJc w:val="left"/>
      <w:pPr>
        <w:tabs>
          <w:tab w:val="num" w:pos="964"/>
        </w:tabs>
        <w:ind w:left="964" w:hanging="964"/>
      </w:pPr>
    </w:lvl>
    <w:lvl w:ilvl="4">
      <w:start w:val="1"/>
      <w:numFmt w:val="decimal"/>
      <w:pStyle w:val="SheadingR4"/>
      <w:lvlText w:val="%2.%3.%4.%5"/>
      <w:lvlJc w:val="left"/>
      <w:pPr>
        <w:tabs>
          <w:tab w:val="num" w:pos="964"/>
        </w:tabs>
        <w:ind w:left="964" w:hanging="964"/>
      </w:pPr>
    </w:lvl>
    <w:lvl w:ilvl="5">
      <w:start w:val="1"/>
      <w:numFmt w:val="decimal"/>
      <w:pStyle w:val="SheadingR5"/>
      <w:lvlText w:val="%2.%3.%4.%5.%6"/>
      <w:lvlJc w:val="left"/>
      <w:pPr>
        <w:tabs>
          <w:tab w:val="num" w:pos="964"/>
        </w:tabs>
        <w:ind w:left="964" w:hanging="964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1">
    <w:nsid w:val="23A47314"/>
    <w:multiLevelType w:val="multilevel"/>
    <w:tmpl w:val="16344294"/>
    <w:name w:val="S heading"/>
    <w:lvl w:ilvl="0">
      <w:start w:val="1"/>
      <w:numFmt w:val="upperRoman"/>
      <w:pStyle w:val="SheadingI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Sheading1"/>
      <w:lvlText w:val="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Sheading2"/>
      <w:lvlText w:val="%2.%3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pStyle w:val="Sheading3"/>
      <w:lvlText w:val="%2.%3.%4"/>
      <w:lvlJc w:val="left"/>
      <w:pPr>
        <w:tabs>
          <w:tab w:val="num" w:pos="1531"/>
        </w:tabs>
        <w:ind w:left="1531" w:hanging="851"/>
      </w:pPr>
    </w:lvl>
    <w:lvl w:ilvl="4">
      <w:start w:val="1"/>
      <w:numFmt w:val="decimal"/>
      <w:pStyle w:val="Sheading4"/>
      <w:lvlText w:val="%2.%3.%4.%5"/>
      <w:lvlJc w:val="left"/>
      <w:pPr>
        <w:tabs>
          <w:tab w:val="num" w:pos="2778"/>
        </w:tabs>
        <w:ind w:left="2778" w:hanging="1247"/>
      </w:pPr>
    </w:lvl>
    <w:lvl w:ilvl="5">
      <w:start w:val="1"/>
      <w:numFmt w:val="decimal"/>
      <w:pStyle w:val="Sheading5"/>
      <w:lvlText w:val="%2.%3.%4.%5.%6"/>
      <w:lvlJc w:val="left"/>
      <w:pPr>
        <w:tabs>
          <w:tab w:val="num" w:pos="2778"/>
        </w:tabs>
        <w:ind w:left="2778" w:hanging="1247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1">
    <w:nsid w:val="23A47319"/>
    <w:multiLevelType w:val="multilevel"/>
    <w:tmpl w:val="16344298"/>
    <w:name w:val="S Schedule"/>
    <w:lvl w:ilvl="0">
      <w:start w:val="1"/>
      <w:numFmt w:val="decimal"/>
      <w:lvlText w:val=""/>
      <w:lvlJc w:val="left"/>
    </w:lvl>
    <w:lvl w:ilvl="1">
      <w:start w:val="1"/>
      <w:numFmt w:val="decimal"/>
      <w:pStyle w:val="SSchedule1"/>
      <w:lvlText w:val="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SSchedule2"/>
      <w:lvlText w:val="%2.%3"/>
      <w:lvlJc w:val="left"/>
      <w:pPr>
        <w:tabs>
          <w:tab w:val="num" w:pos="680"/>
        </w:tabs>
        <w:ind w:left="680" w:hanging="680"/>
      </w:pPr>
    </w:lvl>
    <w:lvl w:ilvl="3">
      <w:start w:val="1"/>
      <w:numFmt w:val="decimal"/>
      <w:pStyle w:val="SSchedule3"/>
      <w:lvlText w:val="%2.%3.%4"/>
      <w:lvlJc w:val="left"/>
      <w:pPr>
        <w:tabs>
          <w:tab w:val="num" w:pos="1531"/>
        </w:tabs>
        <w:ind w:left="1531" w:hanging="851"/>
      </w:pPr>
    </w:lvl>
    <w:lvl w:ilvl="4">
      <w:start w:val="1"/>
      <w:numFmt w:val="decimal"/>
      <w:pStyle w:val="SSchedule4"/>
      <w:lvlText w:val="%2.%3.%4.%5"/>
      <w:lvlJc w:val="left"/>
      <w:pPr>
        <w:tabs>
          <w:tab w:val="num" w:pos="2778"/>
        </w:tabs>
        <w:ind w:left="2778" w:hanging="1247"/>
      </w:pPr>
    </w:lvl>
    <w:lvl w:ilvl="5">
      <w:start w:val="1"/>
      <w:numFmt w:val="decimal"/>
      <w:pStyle w:val="SSchedule5"/>
      <w:lvlText w:val="%2.%3.%4.%5.%6"/>
      <w:lvlJc w:val="left"/>
      <w:pPr>
        <w:tabs>
          <w:tab w:val="num" w:pos="2778"/>
        </w:tabs>
        <w:ind w:left="2778" w:hanging="1247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47314"/>
    <w:multiLevelType w:val="multilevel"/>
    <w:tmpl w:val="26344011"/>
    <w:name w:val="S list i"/>
    <w:lvl w:ilvl="0">
      <w:start w:val="1"/>
      <w:numFmt w:val="lowerRoman"/>
      <w:lvlText w:val=""/>
      <w:lvlJc w:val="left"/>
    </w:lvl>
    <w:lvl w:ilvl="1">
      <w:start w:val="1"/>
      <w:numFmt w:val="lowerRoman"/>
      <w:lvlText w:val="(%2)"/>
      <w:lvlJc w:val="left"/>
      <w:pPr>
        <w:tabs>
          <w:tab w:val="num" w:pos="680"/>
        </w:tabs>
        <w:ind w:left="680" w:hanging="680"/>
      </w:pPr>
    </w:lvl>
    <w:lvl w:ilvl="2">
      <w:start w:val="1"/>
      <w:numFmt w:val="lowerRoman"/>
      <w:lvlText w:val="(%3)"/>
      <w:lvlJc w:val="left"/>
      <w:pPr>
        <w:tabs>
          <w:tab w:val="num" w:pos="1531"/>
        </w:tabs>
        <w:ind w:left="1531" w:hanging="851"/>
      </w:pPr>
    </w:lvl>
    <w:lvl w:ilvl="3">
      <w:start w:val="1"/>
      <w:numFmt w:val="lowerRoman"/>
      <w:lvlText w:val="(%4)"/>
      <w:lvlJc w:val="left"/>
      <w:pPr>
        <w:tabs>
          <w:tab w:val="num" w:pos="1531"/>
        </w:tabs>
        <w:ind w:left="1531" w:hanging="851"/>
      </w:pPr>
    </w:lvl>
    <w:lvl w:ilvl="4">
      <w:start w:val="1"/>
      <w:numFmt w:val="lowerRoman"/>
      <w:lvlText w:val="(%5)"/>
      <w:lvlJc w:val="left"/>
      <w:pPr>
        <w:tabs>
          <w:tab w:val="num" w:pos="2778"/>
        </w:tabs>
        <w:ind w:left="2778" w:hanging="1247"/>
      </w:pPr>
    </w:lvl>
    <w:lvl w:ilvl="5">
      <w:start w:val="1"/>
      <w:numFmt w:val="lowerRoman"/>
      <w:lvlText w:val="(%6)"/>
      <w:lvlJc w:val="left"/>
      <w:pPr>
        <w:tabs>
          <w:tab w:val="num" w:pos="4025"/>
        </w:tabs>
        <w:ind w:left="4025" w:hanging="1247"/>
      </w:pPr>
    </w:lvl>
    <w:lvl w:ilvl="6">
      <w:start w:val="1"/>
      <w:numFmt w:val="lowerRoman"/>
      <w:lvlText w:val="(%7)"/>
      <w:lvlJc w:val="left"/>
      <w:pPr>
        <w:tabs>
          <w:tab w:val="num" w:pos="4025"/>
        </w:tabs>
        <w:ind w:left="4025" w:hanging="1247"/>
      </w:pPr>
    </w:lvl>
    <w:lvl w:ilvl="7">
      <w:start w:val="1"/>
      <w:numFmt w:val="lowerRoman"/>
      <w:lvlText w:val="(%8)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10" w15:restartNumberingAfterBreak="0">
    <w:nsid w:val="23B75114"/>
    <w:multiLevelType w:val="multilevel"/>
    <w:tmpl w:val="26304111"/>
    <w:name w:val="S list iR"/>
    <w:lvl w:ilvl="0">
      <w:start w:val="1"/>
      <w:numFmt w:val="lowerRoman"/>
      <w:lvlText w:val=""/>
      <w:lvlJc w:val="left"/>
    </w:lvl>
    <w:lvl w:ilvl="1">
      <w:start w:val="1"/>
      <w:numFmt w:val="lowerRoman"/>
      <w:lvlText w:val="(%2)"/>
      <w:lvlJc w:val="left"/>
      <w:pPr>
        <w:tabs>
          <w:tab w:val="num" w:pos="680"/>
        </w:tabs>
        <w:ind w:left="680" w:hanging="680"/>
      </w:pPr>
    </w:lvl>
    <w:lvl w:ilvl="2">
      <w:start w:val="1"/>
      <w:numFmt w:val="lowerRoman"/>
      <w:lvlText w:val="(%3)"/>
      <w:lvlJc w:val="left"/>
      <w:pPr>
        <w:tabs>
          <w:tab w:val="num" w:pos="1531"/>
        </w:tabs>
        <w:ind w:left="1531" w:hanging="851"/>
      </w:pPr>
    </w:lvl>
    <w:lvl w:ilvl="3">
      <w:start w:val="1"/>
      <w:numFmt w:val="lowerRoman"/>
      <w:lvlText w:val="(%4)"/>
      <w:lvlJc w:val="left"/>
      <w:pPr>
        <w:tabs>
          <w:tab w:val="num" w:pos="1531"/>
        </w:tabs>
        <w:ind w:left="1531" w:hanging="851"/>
      </w:pPr>
    </w:lvl>
    <w:lvl w:ilvl="4">
      <w:start w:val="1"/>
      <w:numFmt w:val="lowerRoman"/>
      <w:lvlText w:val="(%5)"/>
      <w:lvlJc w:val="left"/>
      <w:pPr>
        <w:tabs>
          <w:tab w:val="num" w:pos="2778"/>
        </w:tabs>
        <w:ind w:left="2778" w:hanging="1247"/>
      </w:pPr>
    </w:lvl>
    <w:lvl w:ilvl="5">
      <w:start w:val="1"/>
      <w:numFmt w:val="lowerRoman"/>
      <w:lvlText w:val="(%6)"/>
      <w:lvlJc w:val="left"/>
      <w:pPr>
        <w:tabs>
          <w:tab w:val="num" w:pos="4025"/>
        </w:tabs>
        <w:ind w:left="4025" w:hanging="1247"/>
      </w:pPr>
    </w:lvl>
    <w:lvl w:ilvl="6">
      <w:start w:val="1"/>
      <w:numFmt w:val="lowerRoman"/>
      <w:lvlText w:val="(%7)"/>
      <w:lvlJc w:val="left"/>
      <w:pPr>
        <w:tabs>
          <w:tab w:val="num" w:pos="4025"/>
        </w:tabs>
        <w:ind w:left="4025" w:hanging="1247"/>
      </w:pPr>
    </w:lvl>
    <w:lvl w:ilvl="7">
      <w:start w:val="1"/>
      <w:numFmt w:val="lowerRoman"/>
      <w:lvlText w:val="(%8)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11" w15:restartNumberingAfterBreak="0">
    <w:nsid w:val="23C36914"/>
    <w:multiLevelType w:val="multilevel"/>
    <w:tmpl w:val="36349515"/>
    <w:name w:val="S list AR"/>
    <w:lvl w:ilvl="0">
      <w:start w:val="1"/>
      <w:numFmt w:val="upperLetter"/>
      <w:lvlText w:val=""/>
      <w:lvlJc w:val="left"/>
    </w:lvl>
    <w:lvl w:ilvl="1">
      <w:start w:val="1"/>
      <w:numFmt w:val="upperLetter"/>
      <w:lvlText w:val="(%2)"/>
      <w:lvlJc w:val="left"/>
      <w:pPr>
        <w:tabs>
          <w:tab w:val="num" w:pos="680"/>
        </w:tabs>
        <w:ind w:left="680" w:hanging="680"/>
      </w:pPr>
    </w:lvl>
    <w:lvl w:ilvl="2">
      <w:start w:val="1"/>
      <w:numFmt w:val="upperLetter"/>
      <w:lvlText w:val="(%3)"/>
      <w:lvlJc w:val="left"/>
      <w:pPr>
        <w:tabs>
          <w:tab w:val="num" w:pos="1531"/>
        </w:tabs>
        <w:ind w:left="1531" w:hanging="851"/>
      </w:pPr>
    </w:lvl>
    <w:lvl w:ilvl="3">
      <w:start w:val="1"/>
      <w:numFmt w:val="upperLetter"/>
      <w:lvlText w:val="(%4)"/>
      <w:lvlJc w:val="left"/>
      <w:pPr>
        <w:tabs>
          <w:tab w:val="num" w:pos="1531"/>
        </w:tabs>
        <w:ind w:left="1531" w:hanging="851"/>
      </w:pPr>
    </w:lvl>
    <w:lvl w:ilvl="4">
      <w:start w:val="1"/>
      <w:numFmt w:val="upperLetter"/>
      <w:lvlText w:val="(%5)"/>
      <w:lvlJc w:val="left"/>
      <w:pPr>
        <w:tabs>
          <w:tab w:val="num" w:pos="2778"/>
        </w:tabs>
        <w:ind w:left="2778" w:hanging="1247"/>
      </w:pPr>
    </w:lvl>
    <w:lvl w:ilvl="5">
      <w:start w:val="1"/>
      <w:numFmt w:val="upperLetter"/>
      <w:lvlText w:val="(%6)"/>
      <w:lvlJc w:val="left"/>
      <w:pPr>
        <w:tabs>
          <w:tab w:val="num" w:pos="4025"/>
        </w:tabs>
        <w:ind w:left="4025" w:hanging="1247"/>
      </w:pPr>
    </w:lvl>
    <w:lvl w:ilvl="6">
      <w:start w:val="1"/>
      <w:numFmt w:val="upperLetter"/>
      <w:lvlText w:val="(%7)"/>
      <w:lvlJc w:val="left"/>
      <w:pPr>
        <w:tabs>
          <w:tab w:val="num" w:pos="4025"/>
        </w:tabs>
        <w:ind w:left="4025" w:hanging="1247"/>
      </w:pPr>
    </w:lvl>
    <w:lvl w:ilvl="7">
      <w:start w:val="1"/>
      <w:numFmt w:val="upperLetter"/>
      <w:lvlText w:val="(%8)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12" w15:restartNumberingAfterBreak="0">
    <w:nsid w:val="23C46939"/>
    <w:multiLevelType w:val="multilevel"/>
    <w:tmpl w:val="36341317"/>
    <w:name w:val="S list 1R"/>
    <w:lvl w:ilvl="0">
      <w:start w:val="1"/>
      <w:numFmt w:val="decimal"/>
      <w:lvlText w:val=""/>
      <w:lvlJc w:val="left"/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3."/>
      <w:lvlJc w:val="left"/>
      <w:pPr>
        <w:tabs>
          <w:tab w:val="num" w:pos="1531"/>
        </w:tabs>
        <w:ind w:left="1531" w:hanging="851"/>
      </w:pPr>
    </w:lvl>
    <w:lvl w:ilvl="3">
      <w:start w:val="1"/>
      <w:numFmt w:val="decimal"/>
      <w:lvlText w:val="%4."/>
      <w:lvlJc w:val="left"/>
      <w:pPr>
        <w:tabs>
          <w:tab w:val="num" w:pos="1531"/>
        </w:tabs>
        <w:ind w:left="1531" w:hanging="851"/>
      </w:pPr>
    </w:lvl>
    <w:lvl w:ilvl="4">
      <w:start w:val="1"/>
      <w:numFmt w:val="decimal"/>
      <w:lvlText w:val="%5."/>
      <w:lvlJc w:val="left"/>
      <w:pPr>
        <w:tabs>
          <w:tab w:val="num" w:pos="2778"/>
        </w:tabs>
        <w:ind w:left="2778" w:hanging="1247"/>
      </w:pPr>
    </w:lvl>
    <w:lvl w:ilvl="5">
      <w:start w:val="1"/>
      <w:numFmt w:val="decimal"/>
      <w:lvlText w:val="%6."/>
      <w:lvlJc w:val="left"/>
      <w:pPr>
        <w:tabs>
          <w:tab w:val="num" w:pos="4025"/>
        </w:tabs>
        <w:ind w:left="4025" w:hanging="1247"/>
      </w:pPr>
    </w:lvl>
    <w:lvl w:ilvl="6">
      <w:start w:val="1"/>
      <w:numFmt w:val="decimal"/>
      <w:lvlText w:val="%7."/>
      <w:lvlJc w:val="left"/>
      <w:pPr>
        <w:tabs>
          <w:tab w:val="num" w:pos="4025"/>
        </w:tabs>
        <w:ind w:left="4025" w:hanging="1247"/>
      </w:pPr>
    </w:lvl>
    <w:lvl w:ilvl="7">
      <w:start w:val="1"/>
      <w:numFmt w:val="decimal"/>
      <w:lvlText w:val="%8.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13" w15:restartNumberingAfterBreak="0">
    <w:nsid w:val="23C47314"/>
    <w:multiLevelType w:val="multilevel"/>
    <w:tmpl w:val="36344015"/>
    <w:name w:val="S list A"/>
    <w:lvl w:ilvl="0">
      <w:start w:val="1"/>
      <w:numFmt w:val="upperLetter"/>
      <w:lvlText w:val=""/>
      <w:lvlJc w:val="left"/>
    </w:lvl>
    <w:lvl w:ilvl="1">
      <w:start w:val="1"/>
      <w:numFmt w:val="upperLetter"/>
      <w:lvlText w:val="(%2)"/>
      <w:lvlJc w:val="left"/>
      <w:pPr>
        <w:tabs>
          <w:tab w:val="num" w:pos="680"/>
        </w:tabs>
        <w:ind w:left="680" w:hanging="680"/>
      </w:pPr>
    </w:lvl>
    <w:lvl w:ilvl="2">
      <w:start w:val="1"/>
      <w:numFmt w:val="upperLetter"/>
      <w:lvlText w:val="(%3)"/>
      <w:lvlJc w:val="left"/>
      <w:pPr>
        <w:tabs>
          <w:tab w:val="num" w:pos="1531"/>
        </w:tabs>
        <w:ind w:left="1531" w:hanging="851"/>
      </w:pPr>
    </w:lvl>
    <w:lvl w:ilvl="3">
      <w:start w:val="1"/>
      <w:numFmt w:val="upperLetter"/>
      <w:lvlText w:val="(%4)"/>
      <w:lvlJc w:val="left"/>
      <w:pPr>
        <w:tabs>
          <w:tab w:val="num" w:pos="1531"/>
        </w:tabs>
        <w:ind w:left="1531" w:hanging="851"/>
      </w:pPr>
    </w:lvl>
    <w:lvl w:ilvl="4">
      <w:start w:val="1"/>
      <w:numFmt w:val="upperLetter"/>
      <w:lvlText w:val="(%5)"/>
      <w:lvlJc w:val="left"/>
      <w:pPr>
        <w:tabs>
          <w:tab w:val="num" w:pos="2778"/>
        </w:tabs>
        <w:ind w:left="2778" w:hanging="1247"/>
      </w:pPr>
    </w:lvl>
    <w:lvl w:ilvl="5">
      <w:numFmt w:val="decimal"/>
      <w:lvlText w:val="(%6)"/>
      <w:lvlJc w:val="left"/>
      <w:pPr>
        <w:tabs>
          <w:tab w:val="num" w:pos="4025"/>
        </w:tabs>
        <w:ind w:left="4025" w:hanging="1247"/>
      </w:pPr>
    </w:lvl>
    <w:lvl w:ilvl="6">
      <w:numFmt w:val="decimal"/>
      <w:lvlText w:val="(%7)"/>
      <w:lvlJc w:val="left"/>
      <w:pPr>
        <w:tabs>
          <w:tab w:val="num" w:pos="4025"/>
        </w:tabs>
        <w:ind w:left="4025" w:hanging="1247"/>
      </w:pPr>
    </w:lvl>
    <w:lvl w:ilvl="7">
      <w:start w:val="1"/>
      <w:numFmt w:val="upperLetter"/>
      <w:lvlText w:val="(%8)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14" w15:restartNumberingAfterBreak="0">
    <w:nsid w:val="23C47319"/>
    <w:multiLevelType w:val="multilevel"/>
    <w:tmpl w:val="36344017"/>
    <w:name w:val="S list 1"/>
    <w:lvl w:ilvl="0">
      <w:start w:val="1"/>
      <w:numFmt w:val="decimal"/>
      <w:lvlText w:val=""/>
      <w:lvlJc w:val="left"/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3."/>
      <w:lvlJc w:val="left"/>
      <w:pPr>
        <w:tabs>
          <w:tab w:val="num" w:pos="1531"/>
        </w:tabs>
        <w:ind w:left="1531" w:hanging="851"/>
      </w:pPr>
    </w:lvl>
    <w:lvl w:ilvl="3">
      <w:start w:val="1"/>
      <w:numFmt w:val="decimal"/>
      <w:lvlText w:val="%4."/>
      <w:lvlJc w:val="left"/>
      <w:pPr>
        <w:tabs>
          <w:tab w:val="num" w:pos="1531"/>
        </w:tabs>
        <w:ind w:left="1531" w:hanging="851"/>
      </w:pPr>
    </w:lvl>
    <w:lvl w:ilvl="4">
      <w:start w:val="1"/>
      <w:numFmt w:val="decimal"/>
      <w:lvlText w:val="%5."/>
      <w:lvlJc w:val="left"/>
      <w:pPr>
        <w:tabs>
          <w:tab w:val="num" w:pos="2778"/>
        </w:tabs>
        <w:ind w:left="2778" w:hanging="1247"/>
      </w:pPr>
    </w:lvl>
    <w:lvl w:ilvl="5">
      <w:start w:val="1"/>
      <w:numFmt w:val="decimal"/>
      <w:lvlText w:val="%6."/>
      <w:lvlJc w:val="left"/>
      <w:pPr>
        <w:tabs>
          <w:tab w:val="num" w:pos="4025"/>
        </w:tabs>
        <w:ind w:left="4025" w:hanging="1247"/>
      </w:pPr>
    </w:lvl>
    <w:lvl w:ilvl="6">
      <w:start w:val="1"/>
      <w:numFmt w:val="decimal"/>
      <w:lvlText w:val="%7."/>
      <w:lvlJc w:val="left"/>
      <w:pPr>
        <w:tabs>
          <w:tab w:val="num" w:pos="4025"/>
        </w:tabs>
        <w:ind w:left="4025" w:hanging="1247"/>
      </w:pPr>
    </w:lvl>
    <w:lvl w:ilvl="7">
      <w:start w:val="1"/>
      <w:numFmt w:val="decimal"/>
      <w:lvlText w:val="%8.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15" w15:restartNumberingAfterBreak="0">
    <w:nsid w:val="23C57319"/>
    <w:multiLevelType w:val="multilevel"/>
    <w:tmpl w:val="36344737"/>
    <w:name w:val="S list 1_arb"/>
    <w:lvl w:ilvl="0">
      <w:start w:val="1"/>
      <w:numFmt w:val="decimal"/>
      <w:lvlText w:val=""/>
      <w:lvlJc w:val="left"/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709"/>
      </w:pPr>
    </w:lvl>
    <w:lvl w:ilvl="3">
      <w:start w:val="1"/>
      <w:numFmt w:val="decimal"/>
      <w:lvlText w:val="%4."/>
      <w:lvlJc w:val="left"/>
      <w:pPr>
        <w:tabs>
          <w:tab w:val="num" w:pos="2269"/>
        </w:tabs>
        <w:ind w:left="2269" w:hanging="1418"/>
      </w:pPr>
    </w:lvl>
    <w:lvl w:ilvl="4">
      <w:start w:val="1"/>
      <w:numFmt w:val="decimal"/>
      <w:lvlText w:val="%5."/>
      <w:lvlJc w:val="left"/>
      <w:pPr>
        <w:tabs>
          <w:tab w:val="num" w:pos="2269"/>
        </w:tabs>
        <w:ind w:left="2269" w:hanging="709"/>
      </w:pPr>
    </w:lvl>
    <w:lvl w:ilvl="5">
      <w:start w:val="1"/>
      <w:numFmt w:val="decimal"/>
      <w:lvlText w:val="%6."/>
      <w:lvlJc w:val="left"/>
      <w:pPr>
        <w:tabs>
          <w:tab w:val="num" w:pos="2978"/>
        </w:tabs>
        <w:ind w:left="2978" w:hanging="709"/>
      </w:pPr>
    </w:lvl>
    <w:lvl w:ilvl="6">
      <w:start w:val="1"/>
      <w:numFmt w:val="decimal"/>
      <w:lvlText w:val="%7."/>
      <w:lvlJc w:val="left"/>
      <w:pPr>
        <w:tabs>
          <w:tab w:val="num" w:pos="3687"/>
        </w:tabs>
        <w:ind w:left="3687" w:hanging="1418"/>
      </w:pPr>
    </w:lvl>
    <w:lvl w:ilvl="7">
      <w:start w:val="1"/>
      <w:numFmt w:val="decimal"/>
      <w:lvlText w:val="%8."/>
      <w:lvlJc w:val="left"/>
      <w:pPr>
        <w:tabs>
          <w:tab w:val="num" w:pos="3687"/>
        </w:tabs>
        <w:ind w:left="3687" w:hanging="709"/>
      </w:pPr>
    </w:lvl>
    <w:lvl w:ilvl="8">
      <w:numFmt w:val="decimal"/>
      <w:lvlText w:val=""/>
      <w:lvlJc w:val="left"/>
    </w:lvl>
  </w:abstractNum>
  <w:abstractNum w:abstractNumId="16" w15:restartNumberingAfterBreak="0">
    <w:nsid w:val="27D57314"/>
    <w:multiLevelType w:val="multilevel"/>
    <w:tmpl w:val="26344011"/>
    <w:name w:val="S list i_arb"/>
    <w:lvl w:ilvl="0">
      <w:start w:val="1"/>
      <w:numFmt w:val="lowerRoman"/>
      <w:lvlText w:val=""/>
      <w:lvlJc w:val="left"/>
    </w:lvl>
    <w:lvl w:ilvl="1">
      <w:start w:val="1"/>
      <w:numFmt w:val="lowerRoman"/>
      <w:lvlText w:val="(%2)"/>
      <w:lvlJc w:val="left"/>
      <w:pPr>
        <w:tabs>
          <w:tab w:val="num" w:pos="851"/>
        </w:tabs>
        <w:ind w:left="851" w:hanging="851"/>
      </w:pPr>
    </w:lvl>
    <w:lvl w:ilvl="2">
      <w:start w:val="1"/>
      <w:numFmt w:val="lowerRoman"/>
      <w:lvlText w:val="(%3)"/>
      <w:lvlJc w:val="left"/>
      <w:pPr>
        <w:tabs>
          <w:tab w:val="num" w:pos="1560"/>
        </w:tabs>
        <w:ind w:left="1560" w:hanging="709"/>
      </w:pPr>
    </w:lvl>
    <w:lvl w:ilvl="3">
      <w:start w:val="1"/>
      <w:numFmt w:val="lowerRoman"/>
      <w:lvlText w:val="(%4)"/>
      <w:lvlJc w:val="left"/>
      <w:pPr>
        <w:tabs>
          <w:tab w:val="num" w:pos="2269"/>
        </w:tabs>
        <w:ind w:left="2269" w:hanging="1418"/>
      </w:pPr>
    </w:lvl>
    <w:lvl w:ilvl="4">
      <w:start w:val="1"/>
      <w:numFmt w:val="lowerRoman"/>
      <w:lvlText w:val="(%5)"/>
      <w:lvlJc w:val="left"/>
      <w:pPr>
        <w:tabs>
          <w:tab w:val="num" w:pos="2269"/>
        </w:tabs>
        <w:ind w:left="2269" w:hanging="709"/>
      </w:pPr>
    </w:lvl>
    <w:lvl w:ilvl="5">
      <w:start w:val="1"/>
      <w:numFmt w:val="lowerRoman"/>
      <w:lvlText w:val="(%6)"/>
      <w:lvlJc w:val="left"/>
      <w:pPr>
        <w:tabs>
          <w:tab w:val="num" w:pos="2978"/>
        </w:tabs>
        <w:ind w:left="2978" w:hanging="709"/>
      </w:pPr>
    </w:lvl>
    <w:lvl w:ilvl="6">
      <w:start w:val="1"/>
      <w:numFmt w:val="lowerRoman"/>
      <w:lvlText w:val="(%7)"/>
      <w:lvlJc w:val="left"/>
      <w:pPr>
        <w:tabs>
          <w:tab w:val="num" w:pos="3687"/>
        </w:tabs>
        <w:ind w:left="3687" w:hanging="1418"/>
      </w:pPr>
    </w:lvl>
    <w:lvl w:ilvl="7">
      <w:start w:val="1"/>
      <w:numFmt w:val="lowerRoman"/>
      <w:lvlText w:val="(%8)"/>
      <w:lvlJc w:val="left"/>
      <w:pPr>
        <w:tabs>
          <w:tab w:val="num" w:pos="3687"/>
        </w:tabs>
        <w:ind w:left="3687" w:hanging="709"/>
      </w:pPr>
    </w:lvl>
    <w:lvl w:ilvl="8">
      <w:numFmt w:val="decimal"/>
      <w:lvlText w:val=""/>
      <w:lvlJc w:val="left"/>
    </w:lvl>
  </w:abstractNum>
  <w:abstractNum w:abstractNumId="17" w15:restartNumberingAfterBreak="0">
    <w:nsid w:val="28F49314"/>
    <w:multiLevelType w:val="multilevel"/>
    <w:tmpl w:val="36344015"/>
    <w:name w:val="S list A_arb"/>
    <w:lvl w:ilvl="0">
      <w:start w:val="1"/>
      <w:numFmt w:val="upperLetter"/>
      <w:lvlText w:val=""/>
      <w:lvlJc w:val="left"/>
    </w:lvl>
    <w:lvl w:ilvl="1">
      <w:start w:val="1"/>
      <w:numFmt w:val="upperLetter"/>
      <w:lvlText w:val="(%2)"/>
      <w:lvlJc w:val="left"/>
      <w:pPr>
        <w:tabs>
          <w:tab w:val="num" w:pos="851"/>
        </w:tabs>
        <w:ind w:left="851" w:hanging="851"/>
      </w:pPr>
    </w:lvl>
    <w:lvl w:ilvl="2">
      <w:start w:val="1"/>
      <w:numFmt w:val="upperLetter"/>
      <w:lvlText w:val="(%3)"/>
      <w:lvlJc w:val="left"/>
      <w:pPr>
        <w:tabs>
          <w:tab w:val="num" w:pos="1560"/>
        </w:tabs>
        <w:ind w:left="1560" w:hanging="709"/>
      </w:pPr>
    </w:lvl>
    <w:lvl w:ilvl="3">
      <w:start w:val="1"/>
      <w:numFmt w:val="upperLetter"/>
      <w:lvlText w:val="(%4)"/>
      <w:lvlJc w:val="left"/>
      <w:pPr>
        <w:tabs>
          <w:tab w:val="num" w:pos="2269"/>
        </w:tabs>
        <w:ind w:left="2269" w:hanging="1418"/>
      </w:pPr>
    </w:lvl>
    <w:lvl w:ilvl="4">
      <w:start w:val="1"/>
      <w:numFmt w:val="upperLetter"/>
      <w:lvlText w:val="(%5)"/>
      <w:lvlJc w:val="left"/>
      <w:pPr>
        <w:tabs>
          <w:tab w:val="num" w:pos="2269"/>
        </w:tabs>
        <w:ind w:left="2269" w:hanging="709"/>
      </w:pPr>
    </w:lvl>
    <w:lvl w:ilvl="5">
      <w:start w:val="1"/>
      <w:numFmt w:val="upperLetter"/>
      <w:lvlText w:val="(%6)"/>
      <w:lvlJc w:val="left"/>
      <w:pPr>
        <w:tabs>
          <w:tab w:val="num" w:pos="2978"/>
        </w:tabs>
        <w:ind w:left="2978" w:hanging="709"/>
      </w:pPr>
    </w:lvl>
    <w:lvl w:ilvl="6">
      <w:start w:val="1"/>
      <w:numFmt w:val="upperLetter"/>
      <w:lvlText w:val="(%7)"/>
      <w:lvlJc w:val="left"/>
      <w:pPr>
        <w:tabs>
          <w:tab w:val="num" w:pos="3687"/>
        </w:tabs>
        <w:ind w:left="3687" w:hanging="1418"/>
      </w:pPr>
    </w:lvl>
    <w:lvl w:ilvl="7">
      <w:start w:val="1"/>
      <w:numFmt w:val="upperLetter"/>
      <w:lvlText w:val="(%8)"/>
      <w:lvlJc w:val="left"/>
      <w:pPr>
        <w:tabs>
          <w:tab w:val="num" w:pos="3687"/>
        </w:tabs>
        <w:ind w:left="3687" w:hanging="709"/>
      </w:pPr>
    </w:lvl>
    <w:lvl w:ilvl="8">
      <w:numFmt w:val="decimal"/>
      <w:lvlText w:val=""/>
      <w:lvlJc w:val="left"/>
    </w:lvl>
  </w:abstractNum>
  <w:abstractNum w:abstractNumId="18" w15:restartNumberingAfterBreak="0">
    <w:nsid w:val="2C7C3DD9"/>
    <w:multiLevelType w:val="multilevel"/>
    <w:tmpl w:val="337EB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4456454"/>
    <w:multiLevelType w:val="multilevel"/>
    <w:tmpl w:val="63443951"/>
    <w:name w:val="S bullet"/>
    <w:lvl w:ilvl="0">
      <w:start w:val="1"/>
      <w:numFmt w:val="bullet"/>
      <w:lvlText w:val=""/>
      <w:lvlJc w:val="left"/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31"/>
        </w:tabs>
        <w:ind w:left="1531" w:hanging="85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531"/>
        </w:tabs>
        <w:ind w:left="1531" w:hanging="85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778"/>
        </w:tabs>
        <w:ind w:left="2778" w:hanging="124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025"/>
        </w:tabs>
        <w:ind w:left="4025" w:hanging="124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025"/>
        </w:tabs>
        <w:ind w:left="4025" w:hanging="124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850"/>
      </w:pPr>
      <w:rPr>
        <w:rFonts w:ascii="Symbol" w:hAnsi="Symbol" w:hint="default"/>
      </w:rPr>
    </w:lvl>
    <w:lvl w:ilvl="8">
      <w:numFmt w:val="decimal"/>
      <w:lvlText w:val=""/>
      <w:lvlJc w:val="left"/>
    </w:lvl>
  </w:abstractNum>
  <w:abstractNum w:abstractNumId="20" w15:restartNumberingAfterBreak="0">
    <w:nsid w:val="386659BB"/>
    <w:multiLevelType w:val="multilevel"/>
    <w:tmpl w:val="2DBCD3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A451254"/>
    <w:multiLevelType w:val="multilevel"/>
    <w:tmpl w:val="63113351"/>
    <w:name w:val="S dash"/>
    <w:lvl w:ilvl="0">
      <w:start w:val="1"/>
      <w:numFmt w:val="bullet"/>
      <w:lvlText w:val=""/>
      <w:lvlJc w:val="left"/>
    </w:lvl>
    <w:lvl w:ilvl="1">
      <w:start w:val="1"/>
      <w:numFmt w:val="bullet"/>
      <w:lvlText w:val="-"/>
      <w:lvlJc w:val="left"/>
      <w:pPr>
        <w:tabs>
          <w:tab w:val="num" w:pos="680"/>
        </w:tabs>
        <w:ind w:left="680" w:hanging="680"/>
      </w:pPr>
    </w:lvl>
    <w:lvl w:ilvl="2">
      <w:start w:val="1"/>
      <w:numFmt w:val="bullet"/>
      <w:lvlText w:val="-"/>
      <w:lvlJc w:val="left"/>
      <w:pPr>
        <w:tabs>
          <w:tab w:val="num" w:pos="1531"/>
        </w:tabs>
        <w:ind w:left="1531" w:hanging="851"/>
      </w:pPr>
    </w:lvl>
    <w:lvl w:ilvl="3">
      <w:start w:val="1"/>
      <w:numFmt w:val="bullet"/>
      <w:lvlText w:val="-"/>
      <w:lvlJc w:val="left"/>
      <w:pPr>
        <w:tabs>
          <w:tab w:val="num" w:pos="1531"/>
        </w:tabs>
        <w:ind w:left="1531" w:hanging="851"/>
      </w:pPr>
    </w:lvl>
    <w:lvl w:ilvl="4">
      <w:start w:val="1"/>
      <w:numFmt w:val="bullet"/>
      <w:lvlText w:val="-"/>
      <w:lvlJc w:val="left"/>
      <w:pPr>
        <w:tabs>
          <w:tab w:val="num" w:pos="2778"/>
        </w:tabs>
        <w:ind w:left="2778" w:hanging="1247"/>
      </w:pPr>
    </w:lvl>
    <w:lvl w:ilvl="5">
      <w:start w:val="1"/>
      <w:numFmt w:val="bullet"/>
      <w:lvlText w:val="-"/>
      <w:lvlJc w:val="left"/>
      <w:pPr>
        <w:tabs>
          <w:tab w:val="num" w:pos="4025"/>
        </w:tabs>
        <w:ind w:left="4025" w:hanging="1247"/>
      </w:pPr>
    </w:lvl>
    <w:lvl w:ilvl="6">
      <w:start w:val="1"/>
      <w:numFmt w:val="bullet"/>
      <w:lvlText w:val="-"/>
      <w:lvlJc w:val="left"/>
      <w:pPr>
        <w:tabs>
          <w:tab w:val="num" w:pos="4025"/>
        </w:tabs>
        <w:ind w:left="4025" w:hanging="1247"/>
      </w:p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850"/>
      </w:pPr>
    </w:lvl>
    <w:lvl w:ilvl="8">
      <w:numFmt w:val="decimal"/>
      <w:lvlText w:val=""/>
      <w:lvlJc w:val="left"/>
    </w:lvl>
  </w:abstractNum>
  <w:abstractNum w:abstractNumId="22" w15:restartNumberingAfterBreak="0">
    <w:nsid w:val="3B456474"/>
    <w:multiLevelType w:val="multilevel"/>
    <w:tmpl w:val="63443353"/>
    <w:name w:val="S bullet_arb"/>
    <w:lvl w:ilvl="0">
      <w:start w:val="1"/>
      <w:numFmt w:val="bullet"/>
      <w:lvlText w:val=""/>
      <w:lvlJc w:val="left"/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709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9"/>
        </w:tabs>
        <w:ind w:left="2269" w:hanging="141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269"/>
        </w:tabs>
        <w:ind w:left="2269" w:hanging="709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2978" w:hanging="709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687"/>
        </w:tabs>
        <w:ind w:left="3687" w:hanging="1418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87"/>
        </w:tabs>
        <w:ind w:left="3687" w:hanging="709"/>
      </w:pPr>
      <w:rPr>
        <w:rFonts w:ascii="Symbol" w:hAnsi="Symbol" w:hint="default"/>
      </w:rPr>
    </w:lvl>
    <w:lvl w:ilvl="8">
      <w:numFmt w:val="decimal"/>
      <w:lvlText w:val=""/>
      <w:lvlJc w:val="left"/>
    </w:lvl>
  </w:abstractNum>
  <w:abstractNum w:abstractNumId="23" w15:restartNumberingAfterBreak="0">
    <w:nsid w:val="3B672D62"/>
    <w:multiLevelType w:val="multilevel"/>
    <w:tmpl w:val="9F9E1B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451254"/>
    <w:multiLevelType w:val="multilevel"/>
    <w:tmpl w:val="53863951"/>
    <w:name w:val="S dash_arb"/>
    <w:lvl w:ilvl="0">
      <w:start w:val="1"/>
      <w:numFmt w:val="bullet"/>
      <w:lvlText w:val=""/>
      <w:lvlJc w:val="left"/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851"/>
      </w:p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709"/>
      </w:pPr>
    </w:lvl>
    <w:lvl w:ilvl="3">
      <w:start w:val="1"/>
      <w:numFmt w:val="bullet"/>
      <w:lvlText w:val="-"/>
      <w:lvlJc w:val="left"/>
      <w:pPr>
        <w:tabs>
          <w:tab w:val="num" w:pos="2269"/>
        </w:tabs>
        <w:ind w:left="2269" w:hanging="1418"/>
      </w:pPr>
    </w:lvl>
    <w:lvl w:ilvl="4">
      <w:start w:val="1"/>
      <w:numFmt w:val="bullet"/>
      <w:lvlText w:val="-"/>
      <w:lvlJc w:val="left"/>
      <w:pPr>
        <w:tabs>
          <w:tab w:val="num" w:pos="2269"/>
        </w:tabs>
        <w:ind w:left="2269" w:hanging="709"/>
      </w:pPr>
    </w:lvl>
    <w:lvl w:ilvl="5">
      <w:start w:val="1"/>
      <w:numFmt w:val="bullet"/>
      <w:lvlText w:val="-"/>
      <w:lvlJc w:val="left"/>
      <w:pPr>
        <w:tabs>
          <w:tab w:val="num" w:pos="2978"/>
        </w:tabs>
        <w:ind w:left="2978" w:hanging="709"/>
      </w:pPr>
    </w:lvl>
    <w:lvl w:ilvl="6">
      <w:start w:val="1"/>
      <w:numFmt w:val="bullet"/>
      <w:lvlText w:val="-"/>
      <w:lvlJc w:val="left"/>
      <w:pPr>
        <w:tabs>
          <w:tab w:val="num" w:pos="3687"/>
        </w:tabs>
        <w:ind w:left="3687" w:hanging="1418"/>
      </w:pPr>
    </w:lvl>
    <w:lvl w:ilvl="7">
      <w:start w:val="1"/>
      <w:numFmt w:val="bullet"/>
      <w:lvlText w:val="-"/>
      <w:lvlJc w:val="left"/>
      <w:pPr>
        <w:tabs>
          <w:tab w:val="num" w:pos="3687"/>
        </w:tabs>
        <w:ind w:left="3687" w:hanging="709"/>
      </w:pPr>
    </w:lvl>
    <w:lvl w:ilvl="8">
      <w:numFmt w:val="decimal"/>
      <w:lvlText w:val=""/>
      <w:lvlJc w:val="left"/>
    </w:lvl>
  </w:abstractNum>
  <w:abstractNum w:abstractNumId="25" w15:restartNumberingAfterBreak="0">
    <w:nsid w:val="423D4F8C"/>
    <w:multiLevelType w:val="hybridMultilevel"/>
    <w:tmpl w:val="0298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47314"/>
    <w:multiLevelType w:val="singleLevel"/>
    <w:tmpl w:val="56344297"/>
    <w:name w:val="S marginal number"/>
    <w:lvl w:ilvl="0">
      <w:start w:val="1"/>
      <w:numFmt w:val="decimal"/>
      <w:pStyle w:val="Smarginalnumber"/>
      <w:lvlText w:val="%1"/>
      <w:lvlJc w:val="left"/>
      <w:pPr>
        <w:tabs>
          <w:tab w:val="num" w:pos="680"/>
        </w:tabs>
      </w:pPr>
    </w:lvl>
  </w:abstractNum>
  <w:abstractNum w:abstractNumId="27" w15:restartNumberingAfterBreak="0">
    <w:nsid w:val="55B47314"/>
    <w:multiLevelType w:val="singleLevel"/>
    <w:tmpl w:val="56344297"/>
    <w:name w:val="S marginal number_arb"/>
    <w:lvl w:ilvl="0">
      <w:start w:val="1"/>
      <w:numFmt w:val="decimal"/>
      <w:pStyle w:val="Smarginalnumberarb"/>
      <w:lvlText w:val="%1"/>
      <w:lvlJc w:val="left"/>
      <w:pPr>
        <w:tabs>
          <w:tab w:val="num" w:pos="851"/>
        </w:tabs>
      </w:pPr>
    </w:lvl>
  </w:abstractNum>
  <w:abstractNum w:abstractNumId="28" w15:restartNumberingAfterBreak="0">
    <w:nsid w:val="59CF20B3"/>
    <w:multiLevelType w:val="hybridMultilevel"/>
    <w:tmpl w:val="46CC68A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A062EA"/>
    <w:multiLevelType w:val="hybridMultilevel"/>
    <w:tmpl w:val="F07A0AC0"/>
    <w:lvl w:ilvl="0" w:tplc="535C761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923FC"/>
    <w:multiLevelType w:val="multilevel"/>
    <w:tmpl w:val="3A74ECEC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6465683">
    <w:abstractNumId w:val="7"/>
  </w:num>
  <w:num w:numId="2" w16cid:durableId="1847549136">
    <w:abstractNumId w:val="8"/>
  </w:num>
  <w:num w:numId="3" w16cid:durableId="1258173689">
    <w:abstractNumId w:val="4"/>
  </w:num>
  <w:num w:numId="4" w16cid:durableId="1461462812">
    <w:abstractNumId w:val="5"/>
  </w:num>
  <w:num w:numId="5" w16cid:durableId="6761044">
    <w:abstractNumId w:val="6"/>
  </w:num>
  <w:num w:numId="6" w16cid:durableId="603417849">
    <w:abstractNumId w:val="3"/>
  </w:num>
  <w:num w:numId="7" w16cid:durableId="1684161838">
    <w:abstractNumId w:val="19"/>
  </w:num>
  <w:num w:numId="8" w16cid:durableId="700546682">
    <w:abstractNumId w:val="21"/>
  </w:num>
  <w:num w:numId="9" w16cid:durableId="492573042">
    <w:abstractNumId w:val="22"/>
  </w:num>
  <w:num w:numId="10" w16cid:durableId="362554520">
    <w:abstractNumId w:val="24"/>
  </w:num>
  <w:num w:numId="11" w16cid:durableId="1474133944">
    <w:abstractNumId w:val="26"/>
  </w:num>
  <w:num w:numId="12" w16cid:durableId="800154479">
    <w:abstractNumId w:val="27"/>
  </w:num>
  <w:num w:numId="13" w16cid:durableId="466506924">
    <w:abstractNumId w:val="9"/>
  </w:num>
  <w:num w:numId="14" w16cid:durableId="1838110489">
    <w:abstractNumId w:val="16"/>
  </w:num>
  <w:num w:numId="15" w16cid:durableId="1399743910">
    <w:abstractNumId w:val="13"/>
  </w:num>
  <w:num w:numId="16" w16cid:durableId="614873469">
    <w:abstractNumId w:val="17"/>
  </w:num>
  <w:num w:numId="17" w16cid:durableId="1789278614">
    <w:abstractNumId w:val="14"/>
  </w:num>
  <w:num w:numId="18" w16cid:durableId="1338538514">
    <w:abstractNumId w:val="15"/>
  </w:num>
  <w:num w:numId="19" w16cid:durableId="1173688900">
    <w:abstractNumId w:val="29"/>
  </w:num>
  <w:num w:numId="20" w16cid:durableId="20595238">
    <w:abstractNumId w:val="18"/>
  </w:num>
  <w:num w:numId="21" w16cid:durableId="18709469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127766">
    <w:abstractNumId w:val="25"/>
  </w:num>
  <w:num w:numId="23" w16cid:durableId="488861845">
    <w:abstractNumId w:val="28"/>
  </w:num>
  <w:num w:numId="24" w16cid:durableId="1135878182">
    <w:abstractNumId w:val="30"/>
  </w:num>
  <w:num w:numId="25" w16cid:durableId="13779659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305548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7762841">
    <w:abstractNumId w:val="1"/>
  </w:num>
  <w:num w:numId="28" w16cid:durableId="764500564">
    <w:abstractNumId w:val="23"/>
  </w:num>
  <w:num w:numId="29" w16cid:durableId="1561011743">
    <w:abstractNumId w:val="20"/>
  </w:num>
  <w:num w:numId="30" w16cid:durableId="2112041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9"/>
  <w:autoHyphenation/>
  <w:hyphenationZone w:val="142"/>
  <w:doNotHyphenateCaps/>
  <w:drawingGridHorizontalSpacing w:val="57"/>
  <w:drawingGridVerticalSpacing w:val="57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RAFTER_VERSION" w:val="3.40"/>
    <w:docVar w:name="DOCDRAFTERREINDEX" w:val="NO"/>
    <w:docVar w:name="DOCDRAFTERTASKPANE" w:val="4a758959-4005-49e2-b12e-cc3726bc675b"/>
    <w:docVar w:name="VERSIONDETAIL" w:val="0"/>
  </w:docVars>
  <w:rsids>
    <w:rsidRoot w:val="008A013F"/>
    <w:rsid w:val="00003516"/>
    <w:rsid w:val="00011CE1"/>
    <w:rsid w:val="00012C3A"/>
    <w:rsid w:val="00013439"/>
    <w:rsid w:val="00022B0F"/>
    <w:rsid w:val="00023A70"/>
    <w:rsid w:val="0002461E"/>
    <w:rsid w:val="0002673F"/>
    <w:rsid w:val="0003049C"/>
    <w:rsid w:val="000447B5"/>
    <w:rsid w:val="000671F2"/>
    <w:rsid w:val="000738EF"/>
    <w:rsid w:val="00094D4F"/>
    <w:rsid w:val="00096C3E"/>
    <w:rsid w:val="000A6794"/>
    <w:rsid w:val="000B0D77"/>
    <w:rsid w:val="000B1552"/>
    <w:rsid w:val="000C2966"/>
    <w:rsid w:val="000C5163"/>
    <w:rsid w:val="000C56B2"/>
    <w:rsid w:val="000E0525"/>
    <w:rsid w:val="000E0830"/>
    <w:rsid w:val="000E2075"/>
    <w:rsid w:val="000F777B"/>
    <w:rsid w:val="001039F0"/>
    <w:rsid w:val="00126675"/>
    <w:rsid w:val="00152220"/>
    <w:rsid w:val="001619D6"/>
    <w:rsid w:val="00171C7A"/>
    <w:rsid w:val="0018681A"/>
    <w:rsid w:val="00187C8C"/>
    <w:rsid w:val="00195C44"/>
    <w:rsid w:val="001B28CD"/>
    <w:rsid w:val="001C2388"/>
    <w:rsid w:val="001D643A"/>
    <w:rsid w:val="001D7468"/>
    <w:rsid w:val="001E12F8"/>
    <w:rsid w:val="001E7829"/>
    <w:rsid w:val="001F062D"/>
    <w:rsid w:val="001F2F0E"/>
    <w:rsid w:val="001F304D"/>
    <w:rsid w:val="001F46FA"/>
    <w:rsid w:val="00203396"/>
    <w:rsid w:val="00204DD4"/>
    <w:rsid w:val="002131F4"/>
    <w:rsid w:val="0023647A"/>
    <w:rsid w:val="00241953"/>
    <w:rsid w:val="00247BFD"/>
    <w:rsid w:val="00290CF9"/>
    <w:rsid w:val="00294350"/>
    <w:rsid w:val="00295571"/>
    <w:rsid w:val="002A005F"/>
    <w:rsid w:val="002A1A40"/>
    <w:rsid w:val="002A1BEC"/>
    <w:rsid w:val="002A3A6B"/>
    <w:rsid w:val="002A3BC0"/>
    <w:rsid w:val="002B017E"/>
    <w:rsid w:val="002C1D75"/>
    <w:rsid w:val="002C4207"/>
    <w:rsid w:val="002E1C85"/>
    <w:rsid w:val="002F128B"/>
    <w:rsid w:val="003002C8"/>
    <w:rsid w:val="00301439"/>
    <w:rsid w:val="003072D4"/>
    <w:rsid w:val="00310EBA"/>
    <w:rsid w:val="00313732"/>
    <w:rsid w:val="003269D8"/>
    <w:rsid w:val="00327F81"/>
    <w:rsid w:val="00334A20"/>
    <w:rsid w:val="00335A03"/>
    <w:rsid w:val="0034078F"/>
    <w:rsid w:val="00341031"/>
    <w:rsid w:val="00353463"/>
    <w:rsid w:val="00353C06"/>
    <w:rsid w:val="00357CB6"/>
    <w:rsid w:val="003604C8"/>
    <w:rsid w:val="0036420B"/>
    <w:rsid w:val="00372530"/>
    <w:rsid w:val="003957AE"/>
    <w:rsid w:val="003A7D38"/>
    <w:rsid w:val="003B149E"/>
    <w:rsid w:val="003B2543"/>
    <w:rsid w:val="003D0DD1"/>
    <w:rsid w:val="0040091E"/>
    <w:rsid w:val="00403802"/>
    <w:rsid w:val="00452105"/>
    <w:rsid w:val="004528C2"/>
    <w:rsid w:val="00474D3C"/>
    <w:rsid w:val="0048402A"/>
    <w:rsid w:val="004A2810"/>
    <w:rsid w:val="004A3AAC"/>
    <w:rsid w:val="004C16BE"/>
    <w:rsid w:val="004C6717"/>
    <w:rsid w:val="004D2733"/>
    <w:rsid w:val="004D4FAA"/>
    <w:rsid w:val="004D7F84"/>
    <w:rsid w:val="0050018A"/>
    <w:rsid w:val="005028EC"/>
    <w:rsid w:val="005144BB"/>
    <w:rsid w:val="00514BD0"/>
    <w:rsid w:val="00541E9F"/>
    <w:rsid w:val="0055124C"/>
    <w:rsid w:val="0056609A"/>
    <w:rsid w:val="00566316"/>
    <w:rsid w:val="005717BE"/>
    <w:rsid w:val="00574128"/>
    <w:rsid w:val="0057466B"/>
    <w:rsid w:val="005857DB"/>
    <w:rsid w:val="00586071"/>
    <w:rsid w:val="005A7E86"/>
    <w:rsid w:val="005B5C03"/>
    <w:rsid w:val="005D3811"/>
    <w:rsid w:val="005E04A0"/>
    <w:rsid w:val="005F2371"/>
    <w:rsid w:val="005F379A"/>
    <w:rsid w:val="00612BFE"/>
    <w:rsid w:val="00621CC7"/>
    <w:rsid w:val="00625E47"/>
    <w:rsid w:val="00626532"/>
    <w:rsid w:val="00637D7A"/>
    <w:rsid w:val="006433BB"/>
    <w:rsid w:val="006531E7"/>
    <w:rsid w:val="00653F5D"/>
    <w:rsid w:val="00667776"/>
    <w:rsid w:val="006713A6"/>
    <w:rsid w:val="00694953"/>
    <w:rsid w:val="006A6686"/>
    <w:rsid w:val="006D733E"/>
    <w:rsid w:val="00712B46"/>
    <w:rsid w:val="00731222"/>
    <w:rsid w:val="00732FA5"/>
    <w:rsid w:val="0073502D"/>
    <w:rsid w:val="007413BE"/>
    <w:rsid w:val="0076019B"/>
    <w:rsid w:val="00761E71"/>
    <w:rsid w:val="00765C31"/>
    <w:rsid w:val="00770D6C"/>
    <w:rsid w:val="00787B97"/>
    <w:rsid w:val="007A144A"/>
    <w:rsid w:val="007A14AB"/>
    <w:rsid w:val="007C4316"/>
    <w:rsid w:val="007C48D0"/>
    <w:rsid w:val="007F6E3A"/>
    <w:rsid w:val="00805D8B"/>
    <w:rsid w:val="00814E45"/>
    <w:rsid w:val="008226FF"/>
    <w:rsid w:val="00823784"/>
    <w:rsid w:val="008238AF"/>
    <w:rsid w:val="0082676C"/>
    <w:rsid w:val="008438F3"/>
    <w:rsid w:val="00851C59"/>
    <w:rsid w:val="0085740A"/>
    <w:rsid w:val="008622AA"/>
    <w:rsid w:val="0089605B"/>
    <w:rsid w:val="008A013F"/>
    <w:rsid w:val="008A0C39"/>
    <w:rsid w:val="008A7F6D"/>
    <w:rsid w:val="008B04C0"/>
    <w:rsid w:val="008C3A9A"/>
    <w:rsid w:val="008C5749"/>
    <w:rsid w:val="008C7D2B"/>
    <w:rsid w:val="008D12BA"/>
    <w:rsid w:val="008D7E38"/>
    <w:rsid w:val="008E16B6"/>
    <w:rsid w:val="008E775F"/>
    <w:rsid w:val="008F764A"/>
    <w:rsid w:val="009059A2"/>
    <w:rsid w:val="009221A4"/>
    <w:rsid w:val="00936452"/>
    <w:rsid w:val="00951C60"/>
    <w:rsid w:val="00954D89"/>
    <w:rsid w:val="00960082"/>
    <w:rsid w:val="00966097"/>
    <w:rsid w:val="00974B91"/>
    <w:rsid w:val="00980D99"/>
    <w:rsid w:val="00986437"/>
    <w:rsid w:val="009A48F9"/>
    <w:rsid w:val="009B21AE"/>
    <w:rsid w:val="009F21E6"/>
    <w:rsid w:val="009F7E3D"/>
    <w:rsid w:val="00A02A07"/>
    <w:rsid w:val="00A2215A"/>
    <w:rsid w:val="00A232E4"/>
    <w:rsid w:val="00A24099"/>
    <w:rsid w:val="00A26D98"/>
    <w:rsid w:val="00A2705C"/>
    <w:rsid w:val="00A275C7"/>
    <w:rsid w:val="00A30BBD"/>
    <w:rsid w:val="00A44EB8"/>
    <w:rsid w:val="00A64D22"/>
    <w:rsid w:val="00A6578F"/>
    <w:rsid w:val="00A679E7"/>
    <w:rsid w:val="00A735D7"/>
    <w:rsid w:val="00A73671"/>
    <w:rsid w:val="00A75840"/>
    <w:rsid w:val="00A91EFC"/>
    <w:rsid w:val="00AA0FCE"/>
    <w:rsid w:val="00AB07A0"/>
    <w:rsid w:val="00AB4BBD"/>
    <w:rsid w:val="00AC13E5"/>
    <w:rsid w:val="00AD113F"/>
    <w:rsid w:val="00AD343C"/>
    <w:rsid w:val="00B00B9C"/>
    <w:rsid w:val="00B200D1"/>
    <w:rsid w:val="00B57955"/>
    <w:rsid w:val="00B63EAA"/>
    <w:rsid w:val="00B64002"/>
    <w:rsid w:val="00B915E6"/>
    <w:rsid w:val="00B93476"/>
    <w:rsid w:val="00BC0339"/>
    <w:rsid w:val="00BC197F"/>
    <w:rsid w:val="00BE31E4"/>
    <w:rsid w:val="00BF487E"/>
    <w:rsid w:val="00BF545F"/>
    <w:rsid w:val="00C20A91"/>
    <w:rsid w:val="00C23D59"/>
    <w:rsid w:val="00C53CD6"/>
    <w:rsid w:val="00C54077"/>
    <w:rsid w:val="00C57B50"/>
    <w:rsid w:val="00C64873"/>
    <w:rsid w:val="00C67084"/>
    <w:rsid w:val="00C72513"/>
    <w:rsid w:val="00C851C1"/>
    <w:rsid w:val="00C939F0"/>
    <w:rsid w:val="00C952D1"/>
    <w:rsid w:val="00CB6559"/>
    <w:rsid w:val="00CC31B9"/>
    <w:rsid w:val="00CC5DA2"/>
    <w:rsid w:val="00CD2843"/>
    <w:rsid w:val="00CD331A"/>
    <w:rsid w:val="00CD4DFD"/>
    <w:rsid w:val="00CE1D3C"/>
    <w:rsid w:val="00CF7666"/>
    <w:rsid w:val="00D13289"/>
    <w:rsid w:val="00D1489F"/>
    <w:rsid w:val="00D264F6"/>
    <w:rsid w:val="00D52761"/>
    <w:rsid w:val="00D63A93"/>
    <w:rsid w:val="00D757FE"/>
    <w:rsid w:val="00D76F2C"/>
    <w:rsid w:val="00D810AA"/>
    <w:rsid w:val="00DB1CA7"/>
    <w:rsid w:val="00DB335A"/>
    <w:rsid w:val="00DE74E1"/>
    <w:rsid w:val="00DF6F08"/>
    <w:rsid w:val="00E01CE1"/>
    <w:rsid w:val="00E117EF"/>
    <w:rsid w:val="00E306B0"/>
    <w:rsid w:val="00E56282"/>
    <w:rsid w:val="00E70452"/>
    <w:rsid w:val="00E7301D"/>
    <w:rsid w:val="00E73CF5"/>
    <w:rsid w:val="00E875B3"/>
    <w:rsid w:val="00E90D7C"/>
    <w:rsid w:val="00EA222A"/>
    <w:rsid w:val="00EB17FA"/>
    <w:rsid w:val="00EC5B5F"/>
    <w:rsid w:val="00EC70A2"/>
    <w:rsid w:val="00ED25F0"/>
    <w:rsid w:val="00EE06AA"/>
    <w:rsid w:val="00EE1BBB"/>
    <w:rsid w:val="00EF0665"/>
    <w:rsid w:val="00F0046A"/>
    <w:rsid w:val="00F024B0"/>
    <w:rsid w:val="00F025F7"/>
    <w:rsid w:val="00F029BD"/>
    <w:rsid w:val="00F21116"/>
    <w:rsid w:val="00F222D9"/>
    <w:rsid w:val="00F35C13"/>
    <w:rsid w:val="00F44C35"/>
    <w:rsid w:val="00F478FE"/>
    <w:rsid w:val="00F5113B"/>
    <w:rsid w:val="00F57DD2"/>
    <w:rsid w:val="00F721CC"/>
    <w:rsid w:val="00F81A1C"/>
    <w:rsid w:val="00F835FD"/>
    <w:rsid w:val="00F928BE"/>
    <w:rsid w:val="00FC3356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745D2BE"/>
  <w15:chartTrackingRefBased/>
  <w15:docId w15:val="{28FF05B7-68CC-4F8E-BE4F-20916077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de-AT" w:eastAsia="de-AT" w:bidi="ar-SA"/>
      </w:rPr>
    </w:rPrDefault>
    <w:pPrDefault>
      <w:pPr>
        <w:spacing w:line="28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semiHidden="1"/>
    <w:lsdException w:name="heading 2" w:semiHidden="1" w:uiPriority="99" w:qFormat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semiHidden="1" w:uiPriority="34" w:qFormat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 w:unhideWhenUsed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iPriority="99" w:unhideWhenUsed="1"/>
  </w:latentStyles>
  <w:style w:type="paragraph" w:default="1" w:styleId="Normal">
    <w:name w:val="Normal"/>
    <w:qFormat/>
    <w:rsid w:val="00D76F2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basedOn w:val="ListParagraph"/>
    <w:next w:val="Normal"/>
    <w:link w:val="Heading2Char"/>
    <w:uiPriority w:val="99"/>
    <w:qFormat/>
    <w:rsid w:val="002A1A40"/>
    <w:pPr>
      <w:keepLines w:val="0"/>
      <w:numPr>
        <w:numId w:val="24"/>
      </w:numPr>
      <w:tabs>
        <w:tab w:val="num" w:pos="360"/>
      </w:tabs>
      <w:spacing w:line="240" w:lineRule="auto"/>
      <w:ind w:left="720" w:firstLine="0"/>
      <w:contextualSpacing w:val="0"/>
      <w:outlineLvl w:val="1"/>
    </w:pPr>
    <w:rPr>
      <w:rFonts w:ascii="Times New Roman" w:eastAsia="Calibri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zero">
    <w:name w:val="S_zero"/>
    <w:hidden/>
    <w:uiPriority w:val="1"/>
  </w:style>
  <w:style w:type="paragraph" w:customStyle="1" w:styleId="SheadingI">
    <w:name w:val="S_heading I."/>
    <w:basedOn w:val="Stext"/>
    <w:next w:val="Sheading1"/>
    <w:qFormat/>
    <w:pPr>
      <w:keepNext/>
      <w:keepLines/>
      <w:numPr>
        <w:numId w:val="1"/>
      </w:numPr>
      <w:outlineLvl w:val="0"/>
    </w:pPr>
    <w:rPr>
      <w:b/>
    </w:rPr>
  </w:style>
  <w:style w:type="paragraph" w:customStyle="1" w:styleId="Sheading1">
    <w:name w:val="S_heading 1"/>
    <w:basedOn w:val="Stext1"/>
    <w:next w:val="Stext1"/>
    <w:uiPriority w:val="1"/>
    <w:qFormat/>
    <w:pPr>
      <w:keepNext/>
      <w:keepLines/>
      <w:numPr>
        <w:ilvl w:val="1"/>
        <w:numId w:val="1"/>
      </w:numPr>
      <w:outlineLvl w:val="0"/>
    </w:pPr>
    <w:rPr>
      <w:b/>
    </w:rPr>
  </w:style>
  <w:style w:type="paragraph" w:customStyle="1" w:styleId="Sheading2">
    <w:name w:val="S_heading 2"/>
    <w:basedOn w:val="Stext2"/>
    <w:next w:val="Stext2"/>
    <w:uiPriority w:val="1"/>
    <w:qFormat/>
    <w:pPr>
      <w:keepNext/>
      <w:keepLines/>
      <w:numPr>
        <w:ilvl w:val="2"/>
        <w:numId w:val="1"/>
      </w:numPr>
      <w:outlineLvl w:val="1"/>
    </w:pPr>
  </w:style>
  <w:style w:type="paragraph" w:customStyle="1" w:styleId="Sheading3">
    <w:name w:val="S_heading 3"/>
    <w:basedOn w:val="Stext3"/>
    <w:next w:val="Stext3"/>
    <w:uiPriority w:val="1"/>
    <w:qFormat/>
    <w:pPr>
      <w:keepNext/>
      <w:keepLines/>
      <w:numPr>
        <w:ilvl w:val="3"/>
        <w:numId w:val="1"/>
      </w:numPr>
      <w:outlineLvl w:val="2"/>
    </w:pPr>
  </w:style>
  <w:style w:type="paragraph" w:customStyle="1" w:styleId="Sheading4">
    <w:name w:val="S_heading 4"/>
    <w:basedOn w:val="Stext4"/>
    <w:next w:val="Stext4"/>
    <w:uiPriority w:val="1"/>
    <w:qFormat/>
    <w:pPr>
      <w:keepNext/>
      <w:keepLines/>
      <w:numPr>
        <w:ilvl w:val="4"/>
        <w:numId w:val="1"/>
      </w:numPr>
      <w:outlineLvl w:val="3"/>
    </w:pPr>
  </w:style>
  <w:style w:type="paragraph" w:customStyle="1" w:styleId="Sheading5">
    <w:name w:val="S_heading 5"/>
    <w:basedOn w:val="Stext5"/>
    <w:next w:val="Stext5"/>
    <w:uiPriority w:val="1"/>
    <w:qFormat/>
    <w:pPr>
      <w:keepNext/>
      <w:keepLines/>
      <w:numPr>
        <w:ilvl w:val="5"/>
        <w:numId w:val="1"/>
      </w:numPr>
      <w:outlineLvl w:val="4"/>
    </w:pPr>
  </w:style>
  <w:style w:type="paragraph" w:customStyle="1" w:styleId="SheadingIarb">
    <w:name w:val="S_heading I._arb"/>
    <w:basedOn w:val="Stext"/>
    <w:next w:val="Sheading1arb"/>
    <w:uiPriority w:val="8"/>
    <w:semiHidden/>
    <w:unhideWhenUsed/>
    <w:qFormat/>
    <w:pPr>
      <w:keepNext/>
      <w:keepLines/>
      <w:numPr>
        <w:numId w:val="6"/>
      </w:numPr>
      <w:outlineLvl w:val="0"/>
    </w:pPr>
    <w:rPr>
      <w:b/>
    </w:rPr>
  </w:style>
  <w:style w:type="paragraph" w:customStyle="1" w:styleId="Sheading1arb">
    <w:name w:val="S_heading 1_arb"/>
    <w:basedOn w:val="Stext1"/>
    <w:next w:val="Stext1arb"/>
    <w:uiPriority w:val="9"/>
    <w:semiHidden/>
    <w:unhideWhenUsed/>
    <w:qFormat/>
    <w:pPr>
      <w:keepNext/>
      <w:keepLines/>
      <w:numPr>
        <w:ilvl w:val="1"/>
        <w:numId w:val="6"/>
      </w:numPr>
      <w:outlineLvl w:val="0"/>
    </w:pPr>
    <w:rPr>
      <w:b/>
    </w:rPr>
  </w:style>
  <w:style w:type="paragraph" w:customStyle="1" w:styleId="Sheading2arb">
    <w:name w:val="S_heading 2_arb"/>
    <w:basedOn w:val="Stext2"/>
    <w:next w:val="Stext2arb"/>
    <w:uiPriority w:val="9"/>
    <w:semiHidden/>
    <w:unhideWhenUsed/>
    <w:qFormat/>
    <w:pPr>
      <w:keepNext/>
      <w:keepLines/>
      <w:numPr>
        <w:ilvl w:val="2"/>
        <w:numId w:val="6"/>
      </w:numPr>
      <w:outlineLvl w:val="1"/>
    </w:pPr>
    <w:rPr>
      <w:b/>
    </w:rPr>
  </w:style>
  <w:style w:type="paragraph" w:customStyle="1" w:styleId="Sheading3arb">
    <w:name w:val="S_heading 3_arb"/>
    <w:basedOn w:val="Stext3"/>
    <w:next w:val="Stext3arb"/>
    <w:uiPriority w:val="9"/>
    <w:semiHidden/>
    <w:unhideWhenUsed/>
    <w:qFormat/>
    <w:pPr>
      <w:keepNext/>
      <w:keepLines/>
      <w:numPr>
        <w:ilvl w:val="3"/>
        <w:numId w:val="6"/>
      </w:numPr>
      <w:outlineLvl w:val="2"/>
    </w:pPr>
    <w:rPr>
      <w:b/>
    </w:rPr>
  </w:style>
  <w:style w:type="paragraph" w:customStyle="1" w:styleId="Sheading4arb">
    <w:name w:val="S_heading 4_arb"/>
    <w:basedOn w:val="Stext4"/>
    <w:next w:val="Stext4arb"/>
    <w:uiPriority w:val="9"/>
    <w:semiHidden/>
    <w:unhideWhenUsed/>
    <w:qFormat/>
    <w:pPr>
      <w:keepNext/>
      <w:keepLines/>
      <w:numPr>
        <w:ilvl w:val="4"/>
        <w:numId w:val="6"/>
      </w:numPr>
      <w:outlineLvl w:val="3"/>
    </w:pPr>
  </w:style>
  <w:style w:type="paragraph" w:customStyle="1" w:styleId="Sheading5arb">
    <w:name w:val="S_heading 5_arb"/>
    <w:basedOn w:val="Stext5arb"/>
    <w:next w:val="Stext5"/>
    <w:uiPriority w:val="9"/>
    <w:semiHidden/>
    <w:unhideWhenUsed/>
    <w:qFormat/>
    <w:pPr>
      <w:keepNext/>
      <w:keepLines/>
      <w:numPr>
        <w:ilvl w:val="5"/>
        <w:numId w:val="6"/>
      </w:numPr>
      <w:outlineLvl w:val="4"/>
    </w:pPr>
  </w:style>
  <w:style w:type="paragraph" w:customStyle="1" w:styleId="SheadingIL">
    <w:name w:val="S_heading I. L"/>
    <w:basedOn w:val="Stext"/>
    <w:next w:val="SheadingL1"/>
    <w:uiPriority w:val="2"/>
    <w:semiHidden/>
    <w:unhideWhenUsed/>
    <w:qFormat/>
    <w:pPr>
      <w:keepNext/>
      <w:keepLines/>
      <w:numPr>
        <w:numId w:val="3"/>
      </w:numPr>
      <w:outlineLvl w:val="0"/>
    </w:pPr>
    <w:rPr>
      <w:b/>
    </w:rPr>
  </w:style>
  <w:style w:type="paragraph" w:customStyle="1" w:styleId="SheadingL1">
    <w:name w:val="S_headingL1"/>
    <w:basedOn w:val="Stext1"/>
    <w:next w:val="Stext1"/>
    <w:uiPriority w:val="3"/>
    <w:semiHidden/>
    <w:unhideWhenUsed/>
    <w:qFormat/>
    <w:pPr>
      <w:keepNext/>
      <w:numPr>
        <w:ilvl w:val="1"/>
        <w:numId w:val="3"/>
      </w:numPr>
      <w:outlineLvl w:val="0"/>
    </w:pPr>
    <w:rPr>
      <w:b/>
    </w:rPr>
  </w:style>
  <w:style w:type="paragraph" w:customStyle="1" w:styleId="SheadingL2">
    <w:name w:val="S_headingL2"/>
    <w:basedOn w:val="Stext2"/>
    <w:next w:val="Stext2"/>
    <w:uiPriority w:val="3"/>
    <w:semiHidden/>
    <w:unhideWhenUsed/>
    <w:qFormat/>
    <w:pPr>
      <w:keepNext/>
      <w:numPr>
        <w:ilvl w:val="2"/>
        <w:numId w:val="3"/>
      </w:numPr>
      <w:outlineLvl w:val="1"/>
    </w:pPr>
  </w:style>
  <w:style w:type="paragraph" w:customStyle="1" w:styleId="SheadingL3">
    <w:name w:val="S_headingL3"/>
    <w:basedOn w:val="Stext3"/>
    <w:next w:val="Stext3"/>
    <w:uiPriority w:val="3"/>
    <w:semiHidden/>
    <w:unhideWhenUsed/>
    <w:qFormat/>
    <w:pPr>
      <w:keepNext/>
      <w:numPr>
        <w:ilvl w:val="3"/>
        <w:numId w:val="3"/>
      </w:numPr>
      <w:outlineLvl w:val="2"/>
    </w:pPr>
  </w:style>
  <w:style w:type="paragraph" w:customStyle="1" w:styleId="SheadingL4">
    <w:name w:val="S_headingL4"/>
    <w:basedOn w:val="Stext4"/>
    <w:next w:val="Stext4"/>
    <w:uiPriority w:val="3"/>
    <w:semiHidden/>
    <w:unhideWhenUsed/>
    <w:qFormat/>
    <w:pPr>
      <w:keepNext/>
      <w:numPr>
        <w:ilvl w:val="4"/>
        <w:numId w:val="3"/>
      </w:numPr>
      <w:outlineLvl w:val="3"/>
    </w:pPr>
  </w:style>
  <w:style w:type="paragraph" w:customStyle="1" w:styleId="SheadingL5">
    <w:name w:val="S_headingL5"/>
    <w:basedOn w:val="Stext5"/>
    <w:next w:val="Stext5"/>
    <w:uiPriority w:val="3"/>
    <w:semiHidden/>
    <w:unhideWhenUsed/>
    <w:qFormat/>
    <w:pPr>
      <w:keepNext/>
      <w:numPr>
        <w:ilvl w:val="5"/>
        <w:numId w:val="3"/>
      </w:numPr>
      <w:outlineLvl w:val="4"/>
    </w:pPr>
  </w:style>
  <w:style w:type="paragraph" w:customStyle="1" w:styleId="SheadingIM">
    <w:name w:val="S_heading I. M"/>
    <w:basedOn w:val="Stext"/>
    <w:next w:val="SheadingM1"/>
    <w:uiPriority w:val="4"/>
    <w:semiHidden/>
    <w:unhideWhenUsed/>
    <w:qFormat/>
    <w:pPr>
      <w:keepNext/>
      <w:keepLines/>
      <w:numPr>
        <w:numId w:val="4"/>
      </w:numPr>
      <w:outlineLvl w:val="0"/>
    </w:pPr>
    <w:rPr>
      <w:b/>
    </w:rPr>
  </w:style>
  <w:style w:type="paragraph" w:customStyle="1" w:styleId="SheadingM1">
    <w:name w:val="S_headingM1"/>
    <w:basedOn w:val="Stext1"/>
    <w:next w:val="Stext1"/>
    <w:uiPriority w:val="5"/>
    <w:semiHidden/>
    <w:unhideWhenUsed/>
    <w:qFormat/>
    <w:pPr>
      <w:keepNext/>
      <w:numPr>
        <w:ilvl w:val="1"/>
        <w:numId w:val="4"/>
      </w:numPr>
      <w:outlineLvl w:val="0"/>
    </w:pPr>
    <w:rPr>
      <w:b/>
    </w:rPr>
  </w:style>
  <w:style w:type="paragraph" w:customStyle="1" w:styleId="SheadingM2">
    <w:name w:val="S_headingM2"/>
    <w:basedOn w:val="Stext2"/>
    <w:next w:val="Stext2"/>
    <w:uiPriority w:val="5"/>
    <w:semiHidden/>
    <w:unhideWhenUsed/>
    <w:qFormat/>
    <w:pPr>
      <w:keepNext/>
      <w:numPr>
        <w:ilvl w:val="2"/>
        <w:numId w:val="4"/>
      </w:numPr>
      <w:outlineLvl w:val="1"/>
    </w:pPr>
  </w:style>
  <w:style w:type="paragraph" w:customStyle="1" w:styleId="SheadingM3">
    <w:name w:val="S_headingM3"/>
    <w:basedOn w:val="Stext3"/>
    <w:next w:val="Stext3"/>
    <w:uiPriority w:val="5"/>
    <w:semiHidden/>
    <w:unhideWhenUsed/>
    <w:qFormat/>
    <w:pPr>
      <w:keepNext/>
      <w:numPr>
        <w:ilvl w:val="3"/>
        <w:numId w:val="4"/>
      </w:numPr>
      <w:outlineLvl w:val="2"/>
    </w:pPr>
  </w:style>
  <w:style w:type="paragraph" w:customStyle="1" w:styleId="SheadingM4">
    <w:name w:val="S_headingM4"/>
    <w:basedOn w:val="Stext4"/>
    <w:next w:val="Stext4"/>
    <w:uiPriority w:val="5"/>
    <w:semiHidden/>
    <w:unhideWhenUsed/>
    <w:qFormat/>
    <w:pPr>
      <w:keepNext/>
      <w:numPr>
        <w:ilvl w:val="4"/>
        <w:numId w:val="4"/>
      </w:numPr>
      <w:outlineLvl w:val="3"/>
    </w:pPr>
  </w:style>
  <w:style w:type="paragraph" w:customStyle="1" w:styleId="SheadingM5">
    <w:name w:val="S_headingM5"/>
    <w:basedOn w:val="Stext5"/>
    <w:next w:val="Stext5"/>
    <w:uiPriority w:val="5"/>
    <w:semiHidden/>
    <w:unhideWhenUsed/>
    <w:qFormat/>
    <w:pPr>
      <w:keepNext/>
      <w:numPr>
        <w:ilvl w:val="5"/>
        <w:numId w:val="4"/>
      </w:numPr>
      <w:outlineLvl w:val="4"/>
    </w:pPr>
  </w:style>
  <w:style w:type="paragraph" w:customStyle="1" w:styleId="SheadingIR">
    <w:name w:val="S_heading I. R"/>
    <w:basedOn w:val="Stext"/>
    <w:next w:val="SheadingR1"/>
    <w:uiPriority w:val="6"/>
    <w:semiHidden/>
    <w:unhideWhenUsed/>
    <w:qFormat/>
    <w:pPr>
      <w:keepNext/>
      <w:keepLines/>
      <w:numPr>
        <w:numId w:val="5"/>
      </w:numPr>
      <w:outlineLvl w:val="0"/>
    </w:pPr>
    <w:rPr>
      <w:b/>
    </w:rPr>
  </w:style>
  <w:style w:type="paragraph" w:customStyle="1" w:styleId="SheadingR1">
    <w:name w:val="S_headingR1"/>
    <w:basedOn w:val="Stext1"/>
    <w:next w:val="Stext1"/>
    <w:uiPriority w:val="7"/>
    <w:semiHidden/>
    <w:unhideWhenUsed/>
    <w:qFormat/>
    <w:pPr>
      <w:keepNext/>
      <w:numPr>
        <w:ilvl w:val="1"/>
        <w:numId w:val="5"/>
      </w:numPr>
      <w:outlineLvl w:val="0"/>
    </w:pPr>
    <w:rPr>
      <w:b/>
    </w:rPr>
  </w:style>
  <w:style w:type="paragraph" w:customStyle="1" w:styleId="SheadingR2">
    <w:name w:val="S_headingR2"/>
    <w:basedOn w:val="Stext2"/>
    <w:next w:val="Stext2"/>
    <w:uiPriority w:val="7"/>
    <w:semiHidden/>
    <w:unhideWhenUsed/>
    <w:qFormat/>
    <w:pPr>
      <w:keepNext/>
      <w:numPr>
        <w:ilvl w:val="2"/>
        <w:numId w:val="5"/>
      </w:numPr>
      <w:outlineLvl w:val="1"/>
    </w:pPr>
  </w:style>
  <w:style w:type="paragraph" w:customStyle="1" w:styleId="SheadingR3">
    <w:name w:val="S_headingR3"/>
    <w:basedOn w:val="Stext3"/>
    <w:next w:val="Stext3"/>
    <w:uiPriority w:val="7"/>
    <w:semiHidden/>
    <w:unhideWhenUsed/>
    <w:qFormat/>
    <w:pPr>
      <w:keepNext/>
      <w:numPr>
        <w:ilvl w:val="3"/>
        <w:numId w:val="5"/>
      </w:numPr>
      <w:outlineLvl w:val="2"/>
    </w:pPr>
  </w:style>
  <w:style w:type="paragraph" w:customStyle="1" w:styleId="SheadingR4">
    <w:name w:val="S_headingR4"/>
    <w:basedOn w:val="Stext4"/>
    <w:next w:val="Stext4"/>
    <w:uiPriority w:val="7"/>
    <w:semiHidden/>
    <w:unhideWhenUsed/>
    <w:qFormat/>
    <w:pPr>
      <w:keepNext/>
      <w:numPr>
        <w:ilvl w:val="4"/>
        <w:numId w:val="5"/>
      </w:numPr>
      <w:outlineLvl w:val="3"/>
    </w:pPr>
  </w:style>
  <w:style w:type="paragraph" w:customStyle="1" w:styleId="SheadingR5">
    <w:name w:val="S_headingR5"/>
    <w:basedOn w:val="Stext5"/>
    <w:next w:val="Stext5"/>
    <w:uiPriority w:val="7"/>
    <w:semiHidden/>
    <w:unhideWhenUsed/>
    <w:qFormat/>
    <w:pPr>
      <w:keepNext/>
      <w:numPr>
        <w:ilvl w:val="5"/>
        <w:numId w:val="5"/>
      </w:numPr>
      <w:outlineLvl w:val="4"/>
    </w:pPr>
  </w:style>
  <w:style w:type="paragraph" w:customStyle="1" w:styleId="Stext">
    <w:name w:val="S_text"/>
    <w:link w:val="StextZchn"/>
    <w:uiPriority w:val="11"/>
    <w:qFormat/>
    <w:pPr>
      <w:spacing w:before="240" w:after="60"/>
      <w:jc w:val="both"/>
    </w:pPr>
  </w:style>
  <w:style w:type="paragraph" w:customStyle="1" w:styleId="Stext1">
    <w:name w:val="S_text 1"/>
    <w:basedOn w:val="Stext"/>
    <w:uiPriority w:val="20"/>
    <w:qFormat/>
    <w:pPr>
      <w:ind w:left="680"/>
    </w:pPr>
  </w:style>
  <w:style w:type="paragraph" w:customStyle="1" w:styleId="Stext2">
    <w:name w:val="S_text 2"/>
    <w:basedOn w:val="Stext1"/>
    <w:uiPriority w:val="20"/>
    <w:qFormat/>
  </w:style>
  <w:style w:type="paragraph" w:customStyle="1" w:styleId="Stext3">
    <w:name w:val="S_text 3"/>
    <w:basedOn w:val="Stext2"/>
    <w:uiPriority w:val="20"/>
    <w:qFormat/>
    <w:pPr>
      <w:ind w:left="1531"/>
    </w:pPr>
  </w:style>
  <w:style w:type="paragraph" w:customStyle="1" w:styleId="Stext4">
    <w:name w:val="S_text 4"/>
    <w:basedOn w:val="Stext3"/>
    <w:uiPriority w:val="20"/>
    <w:qFormat/>
    <w:pPr>
      <w:ind w:left="2778"/>
    </w:pPr>
  </w:style>
  <w:style w:type="paragraph" w:customStyle="1" w:styleId="Stext5">
    <w:name w:val="S_text 5"/>
    <w:basedOn w:val="Stext4"/>
    <w:uiPriority w:val="20"/>
    <w:qFormat/>
  </w:style>
  <w:style w:type="paragraph" w:customStyle="1" w:styleId="Stextarb">
    <w:name w:val="S_text_arb"/>
    <w:basedOn w:val="Stext"/>
    <w:uiPriority w:val="19"/>
    <w:semiHidden/>
    <w:unhideWhenUsed/>
    <w:qFormat/>
  </w:style>
  <w:style w:type="paragraph" w:customStyle="1" w:styleId="Stext1arb">
    <w:name w:val="S_text 1_arb"/>
    <w:basedOn w:val="Stextarb"/>
    <w:uiPriority w:val="20"/>
    <w:semiHidden/>
    <w:unhideWhenUsed/>
    <w:qFormat/>
    <w:pPr>
      <w:ind w:left="851"/>
    </w:pPr>
  </w:style>
  <w:style w:type="paragraph" w:customStyle="1" w:styleId="Stext2arb">
    <w:name w:val="S_text 2_arb"/>
    <w:basedOn w:val="Stext1arb"/>
    <w:uiPriority w:val="20"/>
    <w:semiHidden/>
    <w:unhideWhenUsed/>
    <w:qFormat/>
  </w:style>
  <w:style w:type="paragraph" w:customStyle="1" w:styleId="Stext3arb">
    <w:name w:val="S_text 3_arb"/>
    <w:basedOn w:val="Stext2arb"/>
    <w:uiPriority w:val="20"/>
    <w:semiHidden/>
    <w:unhideWhenUsed/>
    <w:qFormat/>
    <w:pPr>
      <w:ind w:left="1560"/>
    </w:pPr>
  </w:style>
  <w:style w:type="paragraph" w:customStyle="1" w:styleId="Stext4arb">
    <w:name w:val="S_text 4_arb"/>
    <w:basedOn w:val="Stext3arb"/>
    <w:uiPriority w:val="20"/>
    <w:semiHidden/>
    <w:unhideWhenUsed/>
    <w:qFormat/>
    <w:pPr>
      <w:ind w:left="2269"/>
    </w:pPr>
  </w:style>
  <w:style w:type="paragraph" w:customStyle="1" w:styleId="Stext5arb">
    <w:name w:val="S_text 5_arb"/>
    <w:basedOn w:val="Stext4arb"/>
    <w:uiPriority w:val="20"/>
    <w:semiHidden/>
    <w:unhideWhenUsed/>
    <w:qFormat/>
    <w:pPr>
      <w:ind w:left="2978"/>
    </w:pPr>
  </w:style>
  <w:style w:type="paragraph" w:customStyle="1" w:styleId="Stextquotationarb">
    <w:name w:val="S_text quotation_arb"/>
    <w:basedOn w:val="Stext4arb"/>
    <w:uiPriority w:val="20"/>
    <w:semiHidden/>
    <w:unhideWhenUsed/>
    <w:qFormat/>
    <w:pPr>
      <w:spacing w:line="240" w:lineRule="auto"/>
      <w:ind w:right="1134"/>
    </w:pPr>
  </w:style>
  <w:style w:type="paragraph" w:customStyle="1" w:styleId="Stextmultilingual">
    <w:name w:val="S_text multilingual"/>
    <w:basedOn w:val="Stext"/>
    <w:uiPriority w:val="20"/>
    <w:semiHidden/>
    <w:unhideWhenUsed/>
    <w:qFormat/>
    <w:pPr>
      <w:ind w:left="964"/>
    </w:pPr>
  </w:style>
  <w:style w:type="paragraph" w:customStyle="1" w:styleId="Smarginalnumber">
    <w:name w:val="S_marginal number"/>
    <w:basedOn w:val="Stext1"/>
    <w:uiPriority w:val="25"/>
    <w:qFormat/>
    <w:pPr>
      <w:numPr>
        <w:numId w:val="11"/>
      </w:numPr>
      <w:ind w:hanging="680"/>
    </w:pPr>
  </w:style>
  <w:style w:type="paragraph" w:customStyle="1" w:styleId="Smarginalnumberarb">
    <w:name w:val="S_marginal number_arb"/>
    <w:basedOn w:val="Stext1arb"/>
    <w:uiPriority w:val="25"/>
    <w:semiHidden/>
    <w:unhideWhenUsed/>
    <w:qFormat/>
    <w:pPr>
      <w:numPr>
        <w:numId w:val="12"/>
      </w:numPr>
      <w:ind w:hanging="851"/>
    </w:pPr>
  </w:style>
  <w:style w:type="paragraph" w:customStyle="1" w:styleId="SNumberedParagraph1">
    <w:name w:val="S_Numbered Paragraph 1"/>
    <w:basedOn w:val="Sheading1"/>
    <w:uiPriority w:val="10"/>
    <w:qFormat/>
    <w:pPr>
      <w:keepNext w:val="0"/>
      <w:keepLines w:val="0"/>
    </w:pPr>
    <w:rPr>
      <w:b w:val="0"/>
    </w:rPr>
  </w:style>
  <w:style w:type="paragraph" w:customStyle="1" w:styleId="SNumberedParagraph2">
    <w:name w:val="S_Numbered Paragraph 2"/>
    <w:basedOn w:val="Sheading2"/>
    <w:uiPriority w:val="10"/>
    <w:qFormat/>
    <w:pPr>
      <w:keepNext w:val="0"/>
      <w:keepLines w:val="0"/>
    </w:pPr>
  </w:style>
  <w:style w:type="paragraph" w:customStyle="1" w:styleId="SNumberedParagraph3">
    <w:name w:val="S_Numbered Paragraph 3"/>
    <w:basedOn w:val="Sheading3"/>
    <w:uiPriority w:val="10"/>
    <w:qFormat/>
    <w:pPr>
      <w:keepNext w:val="0"/>
      <w:keepLines w:val="0"/>
    </w:pPr>
  </w:style>
  <w:style w:type="paragraph" w:customStyle="1" w:styleId="SNumberedParagraph4">
    <w:name w:val="S_Numbered Paragraph 4"/>
    <w:basedOn w:val="Sheading4"/>
    <w:uiPriority w:val="10"/>
    <w:qFormat/>
    <w:pPr>
      <w:keepNext w:val="0"/>
      <w:keepLines w:val="0"/>
    </w:pPr>
  </w:style>
  <w:style w:type="paragraph" w:customStyle="1" w:styleId="SNumberedParagraph5">
    <w:name w:val="S_Numbered Paragraph 5"/>
    <w:basedOn w:val="Sheading5"/>
    <w:uiPriority w:val="10"/>
    <w:qFormat/>
    <w:pPr>
      <w:keepNext w:val="0"/>
      <w:keepLines w:val="0"/>
    </w:pPr>
  </w:style>
  <w:style w:type="paragraph" w:customStyle="1" w:styleId="SNumberedParagraphL1">
    <w:name w:val="S_Numbered ParagraphL1"/>
    <w:basedOn w:val="SheadingL1"/>
    <w:uiPriority w:val="11"/>
    <w:semiHidden/>
    <w:unhideWhenUsed/>
    <w:qFormat/>
    <w:pPr>
      <w:keepNext w:val="0"/>
    </w:pPr>
    <w:rPr>
      <w:b w:val="0"/>
    </w:rPr>
  </w:style>
  <w:style w:type="paragraph" w:customStyle="1" w:styleId="SNumberedParagraphL2">
    <w:name w:val="S_Numbered ParagraphL2"/>
    <w:basedOn w:val="SheadingL2"/>
    <w:uiPriority w:val="11"/>
    <w:semiHidden/>
    <w:unhideWhenUsed/>
    <w:qFormat/>
    <w:pPr>
      <w:keepNext w:val="0"/>
    </w:pPr>
  </w:style>
  <w:style w:type="paragraph" w:customStyle="1" w:styleId="SNumberedParagraphL3">
    <w:name w:val="S_Numbered ParagraphL3"/>
    <w:basedOn w:val="SheadingL3"/>
    <w:uiPriority w:val="11"/>
    <w:semiHidden/>
    <w:unhideWhenUsed/>
    <w:qFormat/>
    <w:pPr>
      <w:keepNext w:val="0"/>
    </w:pPr>
  </w:style>
  <w:style w:type="paragraph" w:customStyle="1" w:styleId="SNumberedParagraphL4">
    <w:name w:val="S_Numbered ParagraphL4"/>
    <w:basedOn w:val="SheadingL4"/>
    <w:uiPriority w:val="11"/>
    <w:semiHidden/>
    <w:unhideWhenUsed/>
    <w:qFormat/>
    <w:pPr>
      <w:keepNext w:val="0"/>
    </w:pPr>
  </w:style>
  <w:style w:type="paragraph" w:customStyle="1" w:styleId="SNumberedParagraphL5">
    <w:name w:val="S_Numbered ParagraphL5"/>
    <w:basedOn w:val="SheadingL5"/>
    <w:uiPriority w:val="11"/>
    <w:semiHidden/>
    <w:unhideWhenUsed/>
    <w:qFormat/>
    <w:pPr>
      <w:keepNext w:val="0"/>
    </w:pPr>
  </w:style>
  <w:style w:type="paragraph" w:customStyle="1" w:styleId="SNumberedParagraphM1">
    <w:name w:val="S_Numbered ParagraphM1"/>
    <w:basedOn w:val="SheadingM1"/>
    <w:uiPriority w:val="12"/>
    <w:semiHidden/>
    <w:unhideWhenUsed/>
    <w:qFormat/>
    <w:pPr>
      <w:keepNext w:val="0"/>
    </w:pPr>
    <w:rPr>
      <w:b w:val="0"/>
    </w:rPr>
  </w:style>
  <w:style w:type="paragraph" w:customStyle="1" w:styleId="SNumberedParagraphM2">
    <w:name w:val="S_Numbered ParagraphM2"/>
    <w:basedOn w:val="SheadingM2"/>
    <w:uiPriority w:val="12"/>
    <w:semiHidden/>
    <w:unhideWhenUsed/>
    <w:qFormat/>
    <w:pPr>
      <w:keepNext w:val="0"/>
    </w:pPr>
  </w:style>
  <w:style w:type="paragraph" w:customStyle="1" w:styleId="SNumberedParagraphM3">
    <w:name w:val="S_Numbered ParagraphM3"/>
    <w:basedOn w:val="SheadingM3"/>
    <w:uiPriority w:val="12"/>
    <w:semiHidden/>
    <w:unhideWhenUsed/>
    <w:qFormat/>
    <w:pPr>
      <w:keepNext w:val="0"/>
    </w:pPr>
  </w:style>
  <w:style w:type="paragraph" w:customStyle="1" w:styleId="SNumberedParagraphM4">
    <w:name w:val="S_Numbered ParagraphM4"/>
    <w:basedOn w:val="SheadingM4"/>
    <w:uiPriority w:val="12"/>
    <w:semiHidden/>
    <w:unhideWhenUsed/>
    <w:qFormat/>
    <w:pPr>
      <w:keepNext w:val="0"/>
    </w:pPr>
  </w:style>
  <w:style w:type="paragraph" w:customStyle="1" w:styleId="SNumberedParagraphM5">
    <w:name w:val="S_Numbered ParagraphM5"/>
    <w:basedOn w:val="SheadingM5"/>
    <w:uiPriority w:val="12"/>
    <w:semiHidden/>
    <w:unhideWhenUsed/>
    <w:qFormat/>
    <w:pPr>
      <w:keepNext w:val="0"/>
    </w:pPr>
  </w:style>
  <w:style w:type="paragraph" w:customStyle="1" w:styleId="SNumberedParagraphR1">
    <w:name w:val="S_Numbered ParagraphR1"/>
    <w:basedOn w:val="SheadingR1"/>
    <w:uiPriority w:val="13"/>
    <w:semiHidden/>
    <w:unhideWhenUsed/>
    <w:qFormat/>
    <w:pPr>
      <w:keepNext w:val="0"/>
    </w:pPr>
    <w:rPr>
      <w:b w:val="0"/>
    </w:rPr>
  </w:style>
  <w:style w:type="paragraph" w:customStyle="1" w:styleId="SNumberedParagraphR2">
    <w:name w:val="S_Numbered ParagraphR2"/>
    <w:basedOn w:val="SheadingR2"/>
    <w:uiPriority w:val="13"/>
    <w:semiHidden/>
    <w:unhideWhenUsed/>
    <w:qFormat/>
    <w:pPr>
      <w:keepNext w:val="0"/>
    </w:pPr>
  </w:style>
  <w:style w:type="paragraph" w:customStyle="1" w:styleId="SNumberedParagraphR3">
    <w:name w:val="S_Numbered ParagraphR3"/>
    <w:basedOn w:val="SheadingR3"/>
    <w:uiPriority w:val="13"/>
    <w:semiHidden/>
    <w:unhideWhenUsed/>
    <w:qFormat/>
    <w:pPr>
      <w:keepNext w:val="0"/>
    </w:pPr>
  </w:style>
  <w:style w:type="paragraph" w:customStyle="1" w:styleId="SNumberedParagraphR4">
    <w:name w:val="S_Numbered ParagraphR4"/>
    <w:basedOn w:val="SheadingR4"/>
    <w:uiPriority w:val="13"/>
    <w:semiHidden/>
    <w:unhideWhenUsed/>
    <w:qFormat/>
    <w:pPr>
      <w:keepNext w:val="0"/>
    </w:pPr>
  </w:style>
  <w:style w:type="paragraph" w:customStyle="1" w:styleId="SNumberedParagraphR5">
    <w:name w:val="S_Numbered ParagraphR5"/>
    <w:basedOn w:val="SheadingR5"/>
    <w:uiPriority w:val="13"/>
    <w:semiHidden/>
    <w:unhideWhenUsed/>
    <w:qFormat/>
    <w:pPr>
      <w:keepNext w:val="0"/>
    </w:pPr>
  </w:style>
  <w:style w:type="paragraph" w:customStyle="1" w:styleId="SSchedule1">
    <w:name w:val="S_Schedule 1"/>
    <w:basedOn w:val="Stext"/>
    <w:next w:val="Stext1"/>
    <w:uiPriority w:val="30"/>
    <w:pPr>
      <w:keepNext/>
      <w:keepLines/>
      <w:numPr>
        <w:ilvl w:val="1"/>
        <w:numId w:val="2"/>
      </w:numPr>
      <w:spacing w:before="360" w:after="120"/>
      <w:outlineLvl w:val="0"/>
    </w:pPr>
    <w:rPr>
      <w:b/>
    </w:rPr>
  </w:style>
  <w:style w:type="paragraph" w:customStyle="1" w:styleId="SSchedule2">
    <w:name w:val="S_Schedule 2"/>
    <w:basedOn w:val="Stext1"/>
    <w:next w:val="Stext2"/>
    <w:uiPriority w:val="30"/>
    <w:pPr>
      <w:numPr>
        <w:ilvl w:val="2"/>
        <w:numId w:val="2"/>
      </w:numPr>
      <w:outlineLvl w:val="1"/>
    </w:pPr>
  </w:style>
  <w:style w:type="paragraph" w:customStyle="1" w:styleId="SSchedule3">
    <w:name w:val="S_Schedule 3"/>
    <w:basedOn w:val="Stext2"/>
    <w:next w:val="Stext3"/>
    <w:uiPriority w:val="30"/>
    <w:pPr>
      <w:numPr>
        <w:ilvl w:val="3"/>
        <w:numId w:val="2"/>
      </w:numPr>
      <w:outlineLvl w:val="2"/>
    </w:pPr>
  </w:style>
  <w:style w:type="paragraph" w:customStyle="1" w:styleId="SSchedule4">
    <w:name w:val="S_Schedule 4"/>
    <w:basedOn w:val="Stext3"/>
    <w:next w:val="Stext4"/>
    <w:uiPriority w:val="30"/>
    <w:pPr>
      <w:numPr>
        <w:ilvl w:val="4"/>
        <w:numId w:val="2"/>
      </w:numPr>
      <w:outlineLvl w:val="3"/>
    </w:pPr>
  </w:style>
  <w:style w:type="paragraph" w:customStyle="1" w:styleId="SSchedule5">
    <w:name w:val="S_Schedule 5"/>
    <w:basedOn w:val="Stext4"/>
    <w:next w:val="Stext5"/>
    <w:uiPriority w:val="30"/>
    <w:pPr>
      <w:numPr>
        <w:ilvl w:val="5"/>
        <w:numId w:val="2"/>
      </w:numPr>
      <w:outlineLvl w:val="4"/>
    </w:pPr>
  </w:style>
  <w:style w:type="paragraph" w:customStyle="1" w:styleId="Spreamble">
    <w:name w:val="S_preamble"/>
    <w:basedOn w:val="Stext"/>
    <w:uiPriority w:val="99"/>
    <w:semiHidden/>
    <w:pPr>
      <w:spacing w:before="120" w:line="240" w:lineRule="atLeast"/>
      <w:jc w:val="center"/>
    </w:pPr>
  </w:style>
  <w:style w:type="paragraph" w:customStyle="1" w:styleId="Stextnarrow">
    <w:name w:val="S_text_narrow"/>
    <w:basedOn w:val="Stext"/>
    <w:uiPriority w:val="27"/>
    <w:qFormat/>
    <w:pPr>
      <w:contextualSpacing/>
    </w:pPr>
  </w:style>
  <w:style w:type="paragraph" w:customStyle="1" w:styleId="Stext1narrow">
    <w:name w:val="S_text_1_narrow"/>
    <w:basedOn w:val="Stext1"/>
    <w:uiPriority w:val="28"/>
    <w:qFormat/>
    <w:pPr>
      <w:contextualSpacing/>
    </w:pPr>
  </w:style>
  <w:style w:type="paragraph" w:customStyle="1" w:styleId="Stext2narrow">
    <w:name w:val="S_text_2_narrow"/>
    <w:basedOn w:val="Stext2"/>
    <w:uiPriority w:val="28"/>
    <w:qFormat/>
    <w:pPr>
      <w:contextualSpacing/>
    </w:pPr>
  </w:style>
  <w:style w:type="paragraph" w:customStyle="1" w:styleId="Stext3narrow">
    <w:name w:val="S_text_3_narrow"/>
    <w:basedOn w:val="Stext3"/>
    <w:uiPriority w:val="28"/>
    <w:qFormat/>
    <w:pPr>
      <w:contextualSpacing/>
    </w:pPr>
  </w:style>
  <w:style w:type="paragraph" w:customStyle="1" w:styleId="Stext4narrow">
    <w:name w:val="S_text_4_narrow"/>
    <w:basedOn w:val="Stext4"/>
    <w:uiPriority w:val="28"/>
    <w:qFormat/>
    <w:pPr>
      <w:contextualSpacing/>
    </w:pPr>
  </w:style>
  <w:style w:type="paragraph" w:customStyle="1" w:styleId="Stext5narrow">
    <w:name w:val="S_text_5_narrow"/>
    <w:basedOn w:val="Stext5"/>
    <w:uiPriority w:val="28"/>
    <w:qFormat/>
    <w:pPr>
      <w:contextualSpacing/>
    </w:pPr>
  </w:style>
  <w:style w:type="paragraph" w:customStyle="1" w:styleId="Stitleofdocument">
    <w:name w:val="S_title of document"/>
    <w:basedOn w:val="Stext"/>
    <w:uiPriority w:val="39"/>
    <w:pPr>
      <w:spacing w:before="1800" w:after="400"/>
      <w:jc w:val="center"/>
    </w:pPr>
    <w:rPr>
      <w:b/>
      <w:caps/>
      <w:spacing w:val="80"/>
      <w:szCs w:val="18"/>
    </w:rPr>
  </w:style>
  <w:style w:type="paragraph" w:customStyle="1" w:styleId="Sunnumberedheadline">
    <w:name w:val="S_unnumbered headline"/>
    <w:basedOn w:val="Stext"/>
    <w:next w:val="Stext"/>
    <w:uiPriority w:val="39"/>
    <w:pPr>
      <w:spacing w:before="360" w:after="240"/>
      <w:jc w:val="center"/>
    </w:pPr>
    <w:rPr>
      <w:b/>
    </w:rPr>
  </w:style>
  <w:style w:type="paragraph" w:customStyle="1" w:styleId="SunnumberedheadlineSchedule1">
    <w:name w:val="S_unnumbered headline Schedule 1"/>
    <w:basedOn w:val="Sunnumberedheadline"/>
    <w:uiPriority w:val="39"/>
    <w:qFormat/>
    <w:pPr>
      <w:outlineLvl w:val="0"/>
    </w:pPr>
  </w:style>
  <w:style w:type="paragraph" w:customStyle="1" w:styleId="SunnumberedheadlineSchedule2">
    <w:name w:val="S_unnumbered headline Schedule 2"/>
    <w:basedOn w:val="SunnumberedheadlineSchedule1"/>
    <w:uiPriority w:val="39"/>
    <w:qFormat/>
    <w:pPr>
      <w:outlineLvl w:val="1"/>
    </w:pPr>
  </w:style>
  <w:style w:type="paragraph" w:customStyle="1" w:styleId="SSeller">
    <w:name w:val="S_Seller"/>
    <w:basedOn w:val="Stext"/>
    <w:uiPriority w:val="39"/>
    <w:pPr>
      <w:spacing w:before="0" w:after="0"/>
      <w:jc w:val="center"/>
    </w:pPr>
  </w:style>
  <w:style w:type="paragraph" w:customStyle="1" w:styleId="Ssmallgap">
    <w:name w:val="S_small gap"/>
    <w:basedOn w:val="Stext"/>
    <w:uiPriority w:val="39"/>
    <w:qFormat/>
    <w:pPr>
      <w:spacing w:before="0" w:after="0" w:line="240" w:lineRule="auto"/>
    </w:pPr>
  </w:style>
  <w:style w:type="paragraph" w:customStyle="1" w:styleId="Saddressee">
    <w:name w:val="S_addressee"/>
    <w:basedOn w:val="Stext"/>
    <w:uiPriority w:val="39"/>
    <w:pPr>
      <w:spacing w:before="0" w:after="0"/>
    </w:pPr>
  </w:style>
  <w:style w:type="paragraph" w:customStyle="1" w:styleId="Sbyandbetween">
    <w:name w:val="S_by and between"/>
    <w:basedOn w:val="Stext"/>
    <w:uiPriority w:val="39"/>
    <w:pPr>
      <w:spacing w:before="400" w:after="400"/>
      <w:jc w:val="center"/>
    </w:pPr>
    <w:rPr>
      <w:sz w:val="18"/>
      <w:szCs w:val="18"/>
    </w:rPr>
  </w:style>
  <w:style w:type="paragraph" w:customStyle="1" w:styleId="Sdatefile">
    <w:name w:val="S_date_file"/>
    <w:basedOn w:val="Stext"/>
    <w:uiPriority w:val="44"/>
    <w:pPr>
      <w:spacing w:before="0" w:after="0" w:line="240" w:lineRule="auto"/>
      <w:jc w:val="right"/>
    </w:pPr>
    <w:rPr>
      <w:sz w:val="16"/>
      <w:szCs w:val="16"/>
    </w:rPr>
  </w:style>
  <w:style w:type="paragraph" w:customStyle="1" w:styleId="Stableofcontents">
    <w:name w:val="S_table of contents"/>
    <w:basedOn w:val="Stext"/>
    <w:next w:val="Stext"/>
    <w:uiPriority w:val="99"/>
    <w:semiHidden/>
    <w:pPr>
      <w:pageBreakBefore/>
      <w:spacing w:before="120" w:after="360"/>
      <w:jc w:val="center"/>
    </w:pPr>
    <w:rPr>
      <w:b/>
      <w:caps/>
      <w:spacing w:val="70"/>
    </w:rPr>
  </w:style>
  <w:style w:type="paragraph" w:customStyle="1" w:styleId="Stexttable">
    <w:name w:val="S_text table"/>
    <w:basedOn w:val="Stext"/>
    <w:uiPriority w:val="49"/>
    <w:qFormat/>
    <w:pPr>
      <w:spacing w:before="80"/>
    </w:pPr>
  </w:style>
  <w:style w:type="paragraph" w:customStyle="1" w:styleId="Stexttablesmall">
    <w:name w:val="S_text table_small"/>
    <w:basedOn w:val="Stexttable"/>
    <w:uiPriority w:val="49"/>
    <w:qFormat/>
    <w:pPr>
      <w:spacing w:before="60"/>
    </w:pPr>
    <w:rPr>
      <w:sz w:val="16"/>
      <w:szCs w:val="16"/>
    </w:rPr>
  </w:style>
  <w:style w:type="paragraph" w:customStyle="1" w:styleId="SKopfzeile6pt">
    <w:name w:val="S_Kopfzeile 6pt"/>
    <w:basedOn w:val="Stext"/>
    <w:uiPriority w:val="1"/>
    <w:semiHidden/>
    <w:pPr>
      <w:spacing w:before="0" w:after="0" w:line="240" w:lineRule="auto"/>
      <w:ind w:left="510"/>
    </w:pPr>
    <w:rPr>
      <w:color w:val="000000"/>
      <w:sz w:val="12"/>
      <w:szCs w:val="12"/>
    </w:rPr>
  </w:style>
  <w:style w:type="paragraph" w:customStyle="1" w:styleId="SKopfzeile5">
    <w:name w:val="S_Kopfzeile 5"/>
    <w:aliases w:val="5 pt"/>
    <w:basedOn w:val="SKopfzeile6pt"/>
    <w:semiHidden/>
    <w:rPr>
      <w:sz w:val="11"/>
      <w:szCs w:val="11"/>
    </w:rPr>
  </w:style>
  <w:style w:type="paragraph" w:customStyle="1" w:styleId="SKopfzeile5pt">
    <w:name w:val="S_Kopfzeile 5 pt"/>
    <w:basedOn w:val="Stext"/>
    <w:uiPriority w:val="1"/>
    <w:semiHidden/>
    <w:pPr>
      <w:ind w:left="510"/>
    </w:pPr>
    <w:rPr>
      <w:rFonts w:ascii="HelveticaNeueLT Pro 43 LtEx" w:hAnsi="HelveticaNeueLT Pro 43 LtEx"/>
      <w:color w:val="000000"/>
      <w:sz w:val="10"/>
      <w:szCs w:val="10"/>
    </w:rPr>
  </w:style>
  <w:style w:type="paragraph" w:customStyle="1" w:styleId="Snumberofpages">
    <w:name w:val="S_number of pages"/>
    <w:basedOn w:val="Stext"/>
    <w:uiPriority w:val="1"/>
    <w:semiHidden/>
    <w:pPr>
      <w:jc w:val="center"/>
    </w:pPr>
    <w:rPr>
      <w:snapToGrid w:val="0"/>
      <w:sz w:val="14"/>
    </w:rPr>
  </w:style>
  <w:style w:type="paragraph" w:styleId="FootnoteText">
    <w:name w:val="footnote text"/>
    <w:aliases w:val="S_footer"/>
    <w:basedOn w:val="Stext"/>
    <w:semiHidden/>
    <w:pPr>
      <w:tabs>
        <w:tab w:val="left" w:pos="340"/>
      </w:tabs>
      <w:spacing w:before="0" w:after="0" w:line="0" w:lineRule="atLeast"/>
      <w:ind w:left="340" w:hanging="340"/>
    </w:pPr>
    <w:rPr>
      <w:sz w:val="16"/>
    </w:rPr>
  </w:style>
  <w:style w:type="paragraph" w:customStyle="1" w:styleId="Sheader">
    <w:name w:val="S_header"/>
    <w:basedOn w:val="Stext"/>
    <w:semiHidden/>
    <w:pPr>
      <w:spacing w:before="0" w:after="0" w:line="0" w:lineRule="atLeast"/>
    </w:pPr>
    <w:rPr>
      <w:sz w:val="16"/>
    </w:rPr>
  </w:style>
  <w:style w:type="paragraph" w:styleId="Header">
    <w:name w:val="header"/>
    <w:semiHidden/>
  </w:style>
  <w:style w:type="table" w:customStyle="1" w:styleId="Stableplain">
    <w:name w:val="S_table plain"/>
    <w:uiPriority w:val="99"/>
    <w:pPr>
      <w:ind w:left="136" w:right="136"/>
    </w:pPr>
    <w:tblPr>
      <w:tblBorders>
        <w:top w:val="single" w:sz="2" w:space="0" w:color="D9D9D9"/>
        <w:left w:val="single" w:sz="2" w:space="0" w:color="D9D9D9"/>
        <w:bottom w:val="single" w:sz="2" w:space="0" w:color="D9D9D9"/>
        <w:right w:val="single" w:sz="2" w:space="0" w:color="D9D9D9"/>
        <w:insideH w:val="single" w:sz="2" w:space="0" w:color="D9D9D9"/>
        <w:insideV w:val="single" w:sz="2" w:space="0" w:color="D9D9D9"/>
      </w:tblBorders>
      <w:tblCellMar>
        <w:top w:w="0" w:type="dxa"/>
        <w:left w:w="68" w:type="dxa"/>
        <w:bottom w:w="0" w:type="dxa"/>
        <w:right w:w="68" w:type="dxa"/>
      </w:tblCellMar>
    </w:tblPr>
  </w:style>
  <w:style w:type="table" w:customStyle="1" w:styleId="StableplainnoBorder">
    <w:name w:val="S_table plain_noBorder"/>
    <w:basedOn w:val="Stableplain"/>
    <w:uiPriority w:val="99"/>
    <w:pPr>
      <w:ind w:left="0" w:right="0"/>
    </w:p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table" w:customStyle="1" w:styleId="Stableplaincolumnasheader">
    <w:name w:val="S_table plain column as header"/>
    <w:basedOn w:val="Stableplain"/>
    <w:uiPriority w:val="99"/>
    <w:qFormat/>
    <w:tblPr/>
    <w:tblStylePr w:type="firstCol">
      <w:rPr>
        <w:rFonts w:ascii="Verdana" w:hAnsi="Verdana"/>
        <w:b/>
        <w:sz w:val="20"/>
      </w:rPr>
      <w:tblPr/>
      <w:tcPr>
        <w:shd w:val="clear" w:color="auto" w:fill="BFBFBF"/>
      </w:tcPr>
    </w:tblStylePr>
  </w:style>
  <w:style w:type="table" w:customStyle="1" w:styleId="Stableplainrowasheader">
    <w:name w:val="S_table plain row as header"/>
    <w:basedOn w:val="Stableplain"/>
    <w:uiPriority w:val="99"/>
    <w:qFormat/>
    <w:pPr>
      <w:ind w:left="0" w:right="0"/>
    </w:pPr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</w:style>
  <w:style w:type="table" w:customStyle="1" w:styleId="Stableplainrowandcolumnasheader">
    <w:name w:val="S_table plain row and column as header"/>
    <w:basedOn w:val="Stableplainrowasheader"/>
    <w:uiPriority w:val="99"/>
    <w:qFormat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firstCol">
      <w:rPr>
        <w:rFonts w:ascii="Verdana" w:hAnsi="Verdana"/>
        <w:b/>
        <w:sz w:val="20"/>
      </w:rPr>
      <w:tblPr/>
      <w:tcPr>
        <w:shd w:val="clear" w:color="auto" w:fill="BFBFBF"/>
      </w:tcPr>
    </w:tblStylePr>
  </w:style>
  <w:style w:type="table" w:customStyle="1" w:styleId="Stablestructured">
    <w:name w:val="S_table structured"/>
    <w:basedOn w:val="Stableplain"/>
    <w:uiPriority w:val="99"/>
    <w:qFormat/>
    <w:tblPr>
      <w:tblStyleRowBandSize w:val="1"/>
    </w:tblPr>
    <w:tblStylePr w:type="band1Horz">
      <w:rPr>
        <w:rFonts w:ascii="Verdana" w:hAnsi="Verdana"/>
        <w:sz w:val="20"/>
      </w:rPr>
    </w:tblStylePr>
    <w:tblStylePr w:type="band2Horz">
      <w:tblPr/>
      <w:tcPr>
        <w:shd w:val="clear" w:color="auto" w:fill="F2F2F2"/>
      </w:tcPr>
    </w:tblStylePr>
  </w:style>
  <w:style w:type="table" w:customStyle="1" w:styleId="Stablestructuredcolumnasheader">
    <w:name w:val="S_table structured column as header"/>
    <w:basedOn w:val="Stableplain"/>
    <w:uiPriority w:val="99"/>
    <w:qFormat/>
    <w:tblPr>
      <w:tblStyleRowBandSize w:val="1"/>
    </w:tblPr>
    <w:tcPr>
      <w:shd w:val="clear" w:color="auto" w:fill="auto"/>
    </w:tcPr>
    <w:tblStylePr w:type="firstCol">
      <w:tblPr/>
      <w:tcPr>
        <w:shd w:val="clear" w:color="auto" w:fill="BFBFBF"/>
      </w:tcPr>
    </w:tblStylePr>
    <w:tblStylePr w:type="band1Horz">
      <w:rPr>
        <w:rFonts w:ascii="Verdana" w:hAnsi="Verdana"/>
        <w:sz w:val="20"/>
      </w:rPr>
      <w:tblPr/>
      <w:tcPr>
        <w:shd w:val="clear" w:color="auto" w:fill="F2F2F2"/>
      </w:tcPr>
    </w:tblStylePr>
    <w:tblStylePr w:type="nwCell">
      <w:tblPr/>
      <w:tcPr>
        <w:shd w:val="clear" w:color="auto" w:fill="BFBFBF"/>
      </w:tcPr>
    </w:tblStylePr>
  </w:style>
  <w:style w:type="table" w:customStyle="1" w:styleId="Stablestructuredrowasheader">
    <w:name w:val="S_table structured row as header"/>
    <w:basedOn w:val="Stablestructured"/>
    <w:uiPriority w:val="99"/>
    <w:qFormat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band1Horz">
      <w:rPr>
        <w:rFonts w:ascii="Verdana" w:hAnsi="Verdana"/>
        <w:sz w:val="20"/>
      </w:rPr>
    </w:tblStylePr>
    <w:tblStylePr w:type="band2Horz">
      <w:tblPr/>
      <w:tcPr>
        <w:shd w:val="clear" w:color="auto" w:fill="F2F2F2"/>
      </w:tcPr>
    </w:tblStylePr>
  </w:style>
  <w:style w:type="table" w:customStyle="1" w:styleId="Stablestrucuturedrowandcolumnasheader">
    <w:name w:val="S_table strucutured row and column as header"/>
    <w:basedOn w:val="Stablestructured"/>
    <w:uiPriority w:val="99"/>
    <w:qFormat/>
    <w:tblPr/>
    <w:tblStylePr w:type="firstRow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firstCol">
      <w:rPr>
        <w:rFonts w:ascii="Verdana" w:hAnsi="Verdana"/>
        <w:b/>
        <w:sz w:val="20"/>
      </w:rPr>
      <w:tblPr/>
      <w:tcPr>
        <w:shd w:val="clear" w:color="auto" w:fill="BFBFBF"/>
      </w:tcPr>
    </w:tblStylePr>
    <w:tblStylePr w:type="band1Horz">
      <w:rPr>
        <w:rFonts w:ascii="Verdana" w:hAnsi="Verdana"/>
        <w:sz w:val="20"/>
      </w:rPr>
    </w:tblStylePr>
    <w:tblStylePr w:type="band2Horz">
      <w:tblPr/>
      <w:tcPr>
        <w:shd w:val="clear" w:color="auto" w:fill="F2F2F2"/>
      </w:tcPr>
    </w:tblStylePr>
  </w:style>
  <w:style w:type="character" w:customStyle="1" w:styleId="StextZchn">
    <w:name w:val="S_text Zchn"/>
    <w:basedOn w:val="DefaultParagraphFont"/>
    <w:link w:val="Stext"/>
    <w:uiPriority w:val="11"/>
    <w:rsid w:val="00E56282"/>
  </w:style>
  <w:style w:type="paragraph" w:styleId="ListParagraph">
    <w:name w:val="List Paragraph"/>
    <w:aliases w:val="EnTraS_Dokumentenreferenz,#Listenabsatz,Párrafo de lista1,Liststycke,Listenabsatz1,List Paragraph1,List Paragraph11,Paragrafo elenco,Paragraphe de liste1,P?rrafo de lista,P?rrafo de lista1,Párrafo de lista,Paragraphe de liste"/>
    <w:basedOn w:val="Normal"/>
    <w:link w:val="ListParagraphChar"/>
    <w:uiPriority w:val="34"/>
    <w:qFormat/>
    <w:rsid w:val="00D76F2C"/>
    <w:pPr>
      <w:keepLines/>
      <w:spacing w:before="120" w:after="120" w:line="276" w:lineRule="auto"/>
      <w:ind w:left="720"/>
      <w:contextualSpacing/>
      <w:jc w:val="both"/>
    </w:pPr>
    <w:rPr>
      <w:rFonts w:ascii="Verdana" w:hAnsi="Verdana"/>
      <w:sz w:val="20"/>
      <w:szCs w:val="20"/>
    </w:rPr>
  </w:style>
  <w:style w:type="table" w:customStyle="1" w:styleId="TableGrid2">
    <w:name w:val="Table Grid2"/>
    <w:basedOn w:val="TableNormal"/>
    <w:next w:val="TableGrid"/>
    <w:uiPriority w:val="39"/>
    <w:rsid w:val="00D76F2C"/>
    <w:pPr>
      <w:spacing w:line="240" w:lineRule="auto"/>
    </w:pPr>
    <w:rPr>
      <w:rFonts w:ascii="Times New Roman" w:eastAsia="Times New Roman" w:hAnsi="Times New Roman" w:cs="Times New Roman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XETable1">
    <w:name w:val="XE Table1"/>
    <w:basedOn w:val="TableNormal"/>
    <w:next w:val="TableGrid"/>
    <w:uiPriority w:val="39"/>
    <w:rsid w:val="00D76F2C"/>
    <w:pPr>
      <w:spacing w:line="240" w:lineRule="auto"/>
    </w:pPr>
    <w:rPr>
      <w:rFonts w:asciiTheme="minorHAnsi" w:eastAsiaTheme="minorEastAsia" w:hAnsiTheme="minorHAnsi" w:cstheme="minorBidi"/>
      <w:sz w:val="18"/>
      <w:szCs w:val="22"/>
      <w:lang w:val="en-GB" w:eastAsia="zh-TW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b/>
        <w:color w:val="FFFFFF" w:themeColor="background1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4F81BD" w:themeFill="accent1"/>
      </w:tcPr>
    </w:tblStylePr>
  </w:style>
  <w:style w:type="table" w:styleId="TableGrid">
    <w:name w:val="Table Grid"/>
    <w:basedOn w:val="TableNormal"/>
    <w:rsid w:val="00D76F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2A1A40"/>
    <w:rPr>
      <w:rFonts w:ascii="Times New Roman" w:eastAsia="Calibri" w:hAnsi="Times New Roman" w:cs="Times New Roman"/>
      <w:sz w:val="24"/>
      <w:szCs w:val="24"/>
      <w:lang w:val="bg-BG" w:eastAsia="en-US"/>
    </w:rPr>
  </w:style>
  <w:style w:type="character" w:customStyle="1" w:styleId="ListParagraphChar">
    <w:name w:val="List Paragraph Char"/>
    <w:aliases w:val="EnTraS_Dokumentenreferenz Char,#Listenabsatz Char,Párrafo de lista1 Char,Liststycke Char,Listenabsatz1 Char,List Paragraph1 Char,List Paragraph11 Char,Paragrafo elenco Char,Paragraphe de liste1 Char,P?rrafo de lista Char"/>
    <w:basedOn w:val="DefaultParagraphFont"/>
    <w:link w:val="ListParagraph"/>
    <w:uiPriority w:val="34"/>
    <w:qFormat/>
    <w:rsid w:val="002A1A40"/>
    <w:rPr>
      <w:rFonts w:eastAsia="Times New Roman" w:cs="Times New Roman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eso.bg/doc?463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9029-9F09-4E1A-A89A-C0EBE47D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3656</Words>
  <Characters>20663</Characters>
  <Application>Microsoft Office Word</Application>
  <DocSecurity>0</DocSecurity>
  <Lines>626</Lines>
  <Paragraphs>328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0_blank</vt:lpstr>
    </vt:vector>
  </TitlesOfParts>
  <Company>Schoenherr Rechtsanwaelte GmbH</Company>
  <LinksUpToDate>false</LinksUpToDate>
  <CharactersWithSpaces>23991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0_blank</dc:title>
  <dc:subject/>
  <dc:creator>Schoenherr Rechtsanwaelte</dc:creator>
  <cp:keywords/>
  <dc:description/>
  <cp:lastModifiedBy>Schoenherr Rechtsanwaelte</cp:lastModifiedBy>
  <cp:revision>4</cp:revision>
  <cp:lastPrinted>2009-01-09T15:08:00Z</cp:lastPrinted>
  <dcterms:created xsi:type="dcterms:W3CDTF">2024-06-19T13:44:00Z</dcterms:created>
  <dcterms:modified xsi:type="dcterms:W3CDTF">2024-06-19T14:40:00Z</dcterms:modified>
</cp:coreProperties>
</file>